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刘艳</w:t>
      </w:r>
      <w:r>
        <w:rPr>
          <w:rFonts w:hint="eastAsia"/>
          <w:b/>
          <w:bCs/>
          <w:szCs w:val="21"/>
        </w:rPr>
        <w:t xml:space="preserve"> </w:t>
      </w:r>
      <w:r>
        <w:rPr>
          <w:rFonts w:hint="eastAsia"/>
          <w:b/>
          <w:bCs/>
          <w:szCs w:val="21"/>
          <w:lang w:val="en-US" w:eastAsia="zh-CN"/>
        </w:rPr>
        <w:t xml:space="preserve">     </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教授 教学型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计算机</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是</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highlight w:val="none"/>
              </w:rPr>
            </w:pPr>
            <w:r>
              <w:rPr>
                <w:rFonts w:hint="eastAsia"/>
                <w:b/>
                <w:szCs w:val="21"/>
                <w:highlight w:val="none"/>
              </w:rPr>
              <w:t>基本情况</w:t>
            </w:r>
          </w:p>
        </w:tc>
        <w:tc>
          <w:tcPr>
            <w:tcW w:w="1163" w:type="dxa"/>
            <w:vAlign w:val="center"/>
          </w:tcPr>
          <w:p w14:paraId="3050EE39">
            <w:pPr>
              <w:adjustRightInd w:val="0"/>
              <w:snapToGrid w:val="0"/>
              <w:spacing w:line="276" w:lineRule="auto"/>
              <w:jc w:val="center"/>
              <w:rPr>
                <w:szCs w:val="21"/>
                <w:highlight w:val="none"/>
              </w:rPr>
            </w:pPr>
            <w:r>
              <w:rPr>
                <w:rFonts w:hint="eastAsia"/>
                <w:szCs w:val="21"/>
                <w:highlight w:val="none"/>
              </w:rPr>
              <w:t>现任专业技术职务</w:t>
            </w:r>
          </w:p>
        </w:tc>
        <w:tc>
          <w:tcPr>
            <w:tcW w:w="1655" w:type="dxa"/>
            <w:vAlign w:val="center"/>
          </w:tcPr>
          <w:p w14:paraId="707B784D">
            <w:pPr>
              <w:adjustRightInd w:val="0"/>
              <w:snapToGrid w:val="0"/>
              <w:spacing w:line="276" w:lineRule="auto"/>
              <w:jc w:val="center"/>
              <w:rPr>
                <w:rFonts w:hint="eastAsia"/>
                <w:szCs w:val="21"/>
                <w:highlight w:val="none"/>
                <w:lang w:val="en-US" w:eastAsia="zh-CN"/>
              </w:rPr>
            </w:pPr>
            <w:r>
              <w:rPr>
                <w:rFonts w:hint="eastAsia"/>
                <w:szCs w:val="21"/>
                <w:highlight w:val="none"/>
              </w:rPr>
              <w:t>获得时间</w:t>
            </w:r>
            <w:r>
              <w:rPr>
                <w:rFonts w:hint="eastAsia"/>
                <w:szCs w:val="21"/>
                <w:highlight w:val="none"/>
                <w:lang w:val="en-US" w:eastAsia="zh-CN"/>
              </w:rPr>
              <w:t>及</w:t>
            </w:r>
          </w:p>
          <w:p w14:paraId="51A2CD41">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聘任时间</w:t>
            </w:r>
          </w:p>
        </w:tc>
        <w:tc>
          <w:tcPr>
            <w:tcW w:w="1180" w:type="dxa"/>
            <w:vAlign w:val="center"/>
          </w:tcPr>
          <w:p w14:paraId="2E5F7A49">
            <w:pPr>
              <w:adjustRightInd w:val="0"/>
              <w:snapToGrid w:val="0"/>
              <w:spacing w:line="276" w:lineRule="auto"/>
              <w:jc w:val="center"/>
              <w:rPr>
                <w:szCs w:val="21"/>
                <w:highlight w:val="none"/>
              </w:rPr>
            </w:pPr>
            <w:r>
              <w:rPr>
                <w:rFonts w:hint="eastAsia"/>
                <w:szCs w:val="21"/>
                <w:highlight w:val="none"/>
              </w:rPr>
              <w:t>最高学历</w:t>
            </w:r>
          </w:p>
        </w:tc>
        <w:tc>
          <w:tcPr>
            <w:tcW w:w="2731" w:type="dxa"/>
            <w:vAlign w:val="center"/>
          </w:tcPr>
          <w:p w14:paraId="1503E5FE">
            <w:pPr>
              <w:adjustRightInd w:val="0"/>
              <w:snapToGrid w:val="0"/>
              <w:spacing w:line="276" w:lineRule="auto"/>
              <w:jc w:val="center"/>
              <w:rPr>
                <w:szCs w:val="21"/>
                <w:highlight w:val="none"/>
              </w:rPr>
            </w:pPr>
            <w:r>
              <w:rPr>
                <w:rFonts w:hint="eastAsia"/>
                <w:szCs w:val="21"/>
                <w:highlight w:val="none"/>
              </w:rPr>
              <w:t>毕业学校</w:t>
            </w:r>
          </w:p>
        </w:tc>
        <w:tc>
          <w:tcPr>
            <w:tcW w:w="1202" w:type="dxa"/>
            <w:vAlign w:val="center"/>
          </w:tcPr>
          <w:p w14:paraId="4D43762B">
            <w:pPr>
              <w:adjustRightInd w:val="0"/>
              <w:snapToGrid w:val="0"/>
              <w:spacing w:line="276" w:lineRule="auto"/>
              <w:jc w:val="center"/>
              <w:rPr>
                <w:szCs w:val="21"/>
                <w:highlight w:val="none"/>
              </w:rPr>
            </w:pPr>
            <w:r>
              <w:rPr>
                <w:rFonts w:hint="eastAsia"/>
                <w:szCs w:val="21"/>
                <w:highlight w:val="none"/>
              </w:rPr>
              <w:t>所学专业</w:t>
            </w:r>
          </w:p>
        </w:tc>
        <w:tc>
          <w:tcPr>
            <w:tcW w:w="1163" w:type="dxa"/>
            <w:vAlign w:val="center"/>
          </w:tcPr>
          <w:p w14:paraId="1CF84EDE">
            <w:pPr>
              <w:adjustRightInd w:val="0"/>
              <w:snapToGrid w:val="0"/>
              <w:spacing w:line="276" w:lineRule="auto"/>
              <w:jc w:val="center"/>
              <w:rPr>
                <w:szCs w:val="21"/>
                <w:highlight w:val="none"/>
              </w:rPr>
            </w:pPr>
            <w:r>
              <w:rPr>
                <w:rFonts w:hint="eastAsia"/>
                <w:szCs w:val="21"/>
                <w:highlight w:val="none"/>
              </w:rPr>
              <w:t>毕业时间</w:t>
            </w:r>
          </w:p>
        </w:tc>
        <w:tc>
          <w:tcPr>
            <w:tcW w:w="1187" w:type="dxa"/>
            <w:vAlign w:val="center"/>
          </w:tcPr>
          <w:p w14:paraId="28E3FE6B">
            <w:pPr>
              <w:adjustRightInd w:val="0"/>
              <w:snapToGrid w:val="0"/>
              <w:spacing w:line="276" w:lineRule="auto"/>
              <w:jc w:val="center"/>
              <w:rPr>
                <w:szCs w:val="21"/>
                <w:highlight w:val="none"/>
              </w:rPr>
            </w:pPr>
            <w:r>
              <w:rPr>
                <w:rFonts w:hint="eastAsia"/>
                <w:szCs w:val="21"/>
                <w:highlight w:val="none"/>
              </w:rPr>
              <w:t>最高学位</w:t>
            </w:r>
          </w:p>
        </w:tc>
        <w:tc>
          <w:tcPr>
            <w:tcW w:w="2201" w:type="dxa"/>
            <w:vAlign w:val="center"/>
          </w:tcPr>
          <w:p w14:paraId="7BD72C48">
            <w:pPr>
              <w:adjustRightInd w:val="0"/>
              <w:snapToGrid w:val="0"/>
              <w:spacing w:line="276" w:lineRule="auto"/>
              <w:jc w:val="center"/>
              <w:rPr>
                <w:szCs w:val="21"/>
                <w:highlight w:val="none"/>
              </w:rPr>
            </w:pPr>
            <w:r>
              <w:rPr>
                <w:rFonts w:hint="eastAsia"/>
                <w:szCs w:val="21"/>
                <w:highlight w:val="none"/>
              </w:rPr>
              <w:t>毕业学校</w:t>
            </w:r>
          </w:p>
        </w:tc>
        <w:tc>
          <w:tcPr>
            <w:tcW w:w="1186" w:type="dxa"/>
            <w:vAlign w:val="center"/>
          </w:tcPr>
          <w:p w14:paraId="65E253BD">
            <w:pPr>
              <w:adjustRightInd w:val="0"/>
              <w:snapToGrid w:val="0"/>
              <w:spacing w:line="276" w:lineRule="auto"/>
              <w:jc w:val="center"/>
              <w:rPr>
                <w:szCs w:val="21"/>
                <w:highlight w:val="none"/>
              </w:rPr>
            </w:pPr>
            <w:r>
              <w:rPr>
                <w:rFonts w:hint="eastAsia"/>
                <w:szCs w:val="21"/>
                <w:highlight w:val="none"/>
              </w:rPr>
              <w:t>所学专业</w:t>
            </w:r>
          </w:p>
        </w:tc>
        <w:tc>
          <w:tcPr>
            <w:tcW w:w="1247" w:type="dxa"/>
            <w:vAlign w:val="center"/>
          </w:tcPr>
          <w:p w14:paraId="0925E834">
            <w:pPr>
              <w:adjustRightInd w:val="0"/>
              <w:snapToGrid w:val="0"/>
              <w:spacing w:line="276" w:lineRule="auto"/>
              <w:jc w:val="center"/>
              <w:rPr>
                <w:szCs w:val="21"/>
                <w:highlight w:val="none"/>
              </w:rPr>
            </w:pPr>
            <w:r>
              <w:rPr>
                <w:rFonts w:hint="eastAsia"/>
                <w:szCs w:val="21"/>
                <w:highlight w:val="none"/>
              </w:rPr>
              <w:t>获得时间</w:t>
            </w:r>
          </w:p>
        </w:tc>
        <w:tc>
          <w:tcPr>
            <w:tcW w:w="3258" w:type="dxa"/>
            <w:gridSpan w:val="3"/>
            <w:vAlign w:val="center"/>
          </w:tcPr>
          <w:p w14:paraId="441E6E58">
            <w:pPr>
              <w:adjustRightInd w:val="0"/>
              <w:snapToGrid w:val="0"/>
              <w:spacing w:line="276" w:lineRule="auto"/>
              <w:jc w:val="center"/>
              <w:rPr>
                <w:szCs w:val="21"/>
                <w:highlight w:val="none"/>
              </w:rPr>
            </w:pPr>
            <w:r>
              <w:rPr>
                <w:rFonts w:hint="eastAsia"/>
                <w:szCs w:val="21"/>
                <w:highlight w:val="none"/>
              </w:rPr>
              <w:t>现从事专业</w:t>
            </w:r>
          </w:p>
        </w:tc>
        <w:tc>
          <w:tcPr>
            <w:tcW w:w="2331" w:type="dxa"/>
            <w:vAlign w:val="center"/>
          </w:tcPr>
          <w:p w14:paraId="116DCDDC">
            <w:pPr>
              <w:adjustRightInd w:val="0"/>
              <w:snapToGrid w:val="0"/>
              <w:spacing w:line="276" w:lineRule="auto"/>
              <w:jc w:val="center"/>
              <w:rPr>
                <w:szCs w:val="21"/>
                <w:highlight w:val="none"/>
              </w:rPr>
            </w:pPr>
            <w:r>
              <w:rPr>
                <w:rFonts w:hint="eastAsia"/>
                <w:szCs w:val="21"/>
                <w:highlight w:val="none"/>
              </w:rPr>
              <w:t>审核人签名</w:t>
            </w:r>
          </w:p>
          <w:p w14:paraId="3BE2BC00">
            <w:pPr>
              <w:adjustRightInd w:val="0"/>
              <w:snapToGrid w:val="0"/>
              <w:spacing w:line="276" w:lineRule="auto"/>
              <w:jc w:val="center"/>
              <w:rPr>
                <w:szCs w:val="21"/>
                <w:highlight w:val="none"/>
              </w:rPr>
            </w:pPr>
            <w:r>
              <w:rPr>
                <w:rFonts w:hint="eastAsia"/>
                <w:szCs w:val="21"/>
                <w:highlight w:val="none"/>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highlight w:val="none"/>
              </w:rPr>
            </w:pPr>
          </w:p>
        </w:tc>
        <w:tc>
          <w:tcPr>
            <w:tcW w:w="1163" w:type="dxa"/>
            <w:vAlign w:val="center"/>
          </w:tcPr>
          <w:p w14:paraId="54A2E1B5">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副教授</w:t>
            </w:r>
          </w:p>
        </w:tc>
        <w:tc>
          <w:tcPr>
            <w:tcW w:w="1655" w:type="dxa"/>
            <w:vAlign w:val="center"/>
          </w:tcPr>
          <w:p w14:paraId="338B6C8E">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2014年</w:t>
            </w:r>
          </w:p>
        </w:tc>
        <w:tc>
          <w:tcPr>
            <w:tcW w:w="1180" w:type="dxa"/>
            <w:vAlign w:val="center"/>
          </w:tcPr>
          <w:p w14:paraId="226F5EBD">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本科</w:t>
            </w:r>
          </w:p>
        </w:tc>
        <w:tc>
          <w:tcPr>
            <w:tcW w:w="2731" w:type="dxa"/>
            <w:vAlign w:val="center"/>
          </w:tcPr>
          <w:p w14:paraId="021F323E">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湖南大学</w:t>
            </w:r>
          </w:p>
        </w:tc>
        <w:tc>
          <w:tcPr>
            <w:tcW w:w="1202" w:type="dxa"/>
            <w:vAlign w:val="center"/>
          </w:tcPr>
          <w:p w14:paraId="0D1A0DCB">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计算机应用与维修</w:t>
            </w:r>
          </w:p>
        </w:tc>
        <w:tc>
          <w:tcPr>
            <w:tcW w:w="1163" w:type="dxa"/>
            <w:vAlign w:val="center"/>
          </w:tcPr>
          <w:p w14:paraId="76744ADB">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2000年</w:t>
            </w:r>
          </w:p>
        </w:tc>
        <w:tc>
          <w:tcPr>
            <w:tcW w:w="1187" w:type="dxa"/>
            <w:vAlign w:val="center"/>
          </w:tcPr>
          <w:p w14:paraId="5A7CFCD9">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硕士</w:t>
            </w:r>
          </w:p>
        </w:tc>
        <w:tc>
          <w:tcPr>
            <w:tcW w:w="2201" w:type="dxa"/>
            <w:vAlign w:val="center"/>
          </w:tcPr>
          <w:p w14:paraId="58890F95">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中南大学</w:t>
            </w:r>
          </w:p>
        </w:tc>
        <w:tc>
          <w:tcPr>
            <w:tcW w:w="1186" w:type="dxa"/>
            <w:vAlign w:val="center"/>
          </w:tcPr>
          <w:p w14:paraId="4BD686A7">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高等</w:t>
            </w:r>
          </w:p>
          <w:p w14:paraId="16C4107A">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教育学</w:t>
            </w:r>
          </w:p>
        </w:tc>
        <w:tc>
          <w:tcPr>
            <w:tcW w:w="1247" w:type="dxa"/>
            <w:vAlign w:val="center"/>
          </w:tcPr>
          <w:p w14:paraId="3D3F2A89">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2013年</w:t>
            </w: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highlight w:val="none"/>
                <w:lang w:val="en-US" w:eastAsia="zh-CN"/>
              </w:rPr>
            </w:pPr>
            <w:r>
              <w:rPr>
                <w:rFonts w:hint="eastAsia"/>
                <w:color w:val="auto"/>
                <w:szCs w:val="21"/>
                <w:highlight w:val="none"/>
                <w:lang w:val="en-US" w:eastAsia="zh-CN"/>
              </w:rPr>
              <w:t>计算机</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highlight w:val="none"/>
              </w:rPr>
            </w:pPr>
            <w:r>
              <w:rPr>
                <w:rFonts w:hint="eastAsia"/>
                <w:b/>
                <w:szCs w:val="21"/>
                <w:highlight w:val="none"/>
              </w:rPr>
              <w:t>一级指标</w:t>
            </w:r>
          </w:p>
        </w:tc>
        <w:tc>
          <w:tcPr>
            <w:tcW w:w="1163" w:type="dxa"/>
            <w:vAlign w:val="center"/>
          </w:tcPr>
          <w:p w14:paraId="27D9DA44">
            <w:pPr>
              <w:adjustRightInd w:val="0"/>
              <w:snapToGrid w:val="0"/>
              <w:spacing w:line="276" w:lineRule="auto"/>
              <w:jc w:val="center"/>
              <w:rPr>
                <w:b/>
                <w:szCs w:val="21"/>
                <w:highlight w:val="none"/>
              </w:rPr>
            </w:pPr>
            <w:r>
              <w:rPr>
                <w:rFonts w:hint="eastAsia"/>
                <w:b/>
                <w:szCs w:val="21"/>
                <w:highlight w:val="none"/>
              </w:rPr>
              <w:t>二级指标</w:t>
            </w:r>
          </w:p>
        </w:tc>
        <w:tc>
          <w:tcPr>
            <w:tcW w:w="14536" w:type="dxa"/>
            <w:gridSpan w:val="10"/>
            <w:vAlign w:val="center"/>
          </w:tcPr>
          <w:p w14:paraId="2556DBF0">
            <w:pPr>
              <w:adjustRightInd w:val="0"/>
              <w:snapToGrid w:val="0"/>
              <w:spacing w:line="276" w:lineRule="auto"/>
              <w:jc w:val="center"/>
              <w:rPr>
                <w:b/>
                <w:szCs w:val="21"/>
                <w:highlight w:val="none"/>
              </w:rPr>
            </w:pPr>
            <w:r>
              <w:rPr>
                <w:rFonts w:hint="eastAsia"/>
                <w:b/>
                <w:szCs w:val="21"/>
                <w:highlight w:val="none"/>
              </w:rPr>
              <w:t>计分情况</w:t>
            </w:r>
          </w:p>
        </w:tc>
        <w:tc>
          <w:tcPr>
            <w:tcW w:w="1200" w:type="dxa"/>
            <w:vAlign w:val="center"/>
          </w:tcPr>
          <w:p w14:paraId="5D553992">
            <w:pPr>
              <w:adjustRightInd w:val="0"/>
              <w:snapToGrid w:val="0"/>
              <w:spacing w:line="276" w:lineRule="auto"/>
              <w:jc w:val="center"/>
              <w:rPr>
                <w:b/>
                <w:szCs w:val="21"/>
                <w:highlight w:val="none"/>
              </w:rPr>
            </w:pPr>
            <w:r>
              <w:rPr>
                <w:rFonts w:hint="eastAsia"/>
                <w:b/>
                <w:szCs w:val="21"/>
                <w:highlight w:val="none"/>
              </w:rPr>
              <w:t>自评量化加分</w:t>
            </w:r>
          </w:p>
        </w:tc>
        <w:tc>
          <w:tcPr>
            <w:tcW w:w="1274" w:type="dxa"/>
          </w:tcPr>
          <w:p w14:paraId="5C368C83">
            <w:pPr>
              <w:adjustRightInd w:val="0"/>
              <w:snapToGrid w:val="0"/>
              <w:spacing w:line="276" w:lineRule="auto"/>
              <w:jc w:val="center"/>
              <w:rPr>
                <w:color w:val="A6A6A6" w:themeColor="background1" w:themeShade="A6"/>
                <w:szCs w:val="21"/>
                <w:highlight w:val="none"/>
              </w:rPr>
            </w:pPr>
            <w:r>
              <w:rPr>
                <w:rFonts w:hint="eastAsia"/>
                <w:b/>
                <w:szCs w:val="21"/>
                <w:highlight w:val="none"/>
                <w:lang w:val="en-US" w:eastAsia="zh-CN"/>
              </w:rPr>
              <w:t>测评委员会</w:t>
            </w:r>
            <w:r>
              <w:rPr>
                <w:rFonts w:hint="eastAsia"/>
                <w:b/>
                <w:szCs w:val="21"/>
                <w:highlight w:val="none"/>
              </w:rPr>
              <w:t>审核计分</w:t>
            </w:r>
          </w:p>
        </w:tc>
        <w:tc>
          <w:tcPr>
            <w:tcW w:w="2331" w:type="dxa"/>
            <w:vAlign w:val="center"/>
          </w:tcPr>
          <w:p w14:paraId="469604D7">
            <w:pPr>
              <w:adjustRightInd w:val="0"/>
              <w:snapToGrid w:val="0"/>
              <w:spacing w:line="276" w:lineRule="auto"/>
              <w:jc w:val="center"/>
              <w:rPr>
                <w:b/>
                <w:bCs/>
                <w:szCs w:val="21"/>
                <w:highlight w:val="none"/>
              </w:rPr>
            </w:pPr>
            <w:r>
              <w:rPr>
                <w:rFonts w:hint="eastAsia"/>
                <w:b/>
                <w:bCs/>
                <w:szCs w:val="21"/>
                <w:highlight w:val="none"/>
              </w:rPr>
              <w:t>审核人签名</w:t>
            </w:r>
          </w:p>
          <w:p w14:paraId="0A200D74">
            <w:pPr>
              <w:adjustRightInd w:val="0"/>
              <w:snapToGrid w:val="0"/>
              <w:spacing w:line="276" w:lineRule="auto"/>
              <w:jc w:val="center"/>
              <w:rPr>
                <w:rFonts w:hint="default" w:eastAsia="宋体"/>
                <w:color w:val="A6A6A6" w:themeColor="background1" w:themeShade="A6"/>
                <w:szCs w:val="21"/>
                <w:highlight w:val="none"/>
                <w:lang w:val="en-US" w:eastAsia="zh-CN"/>
              </w:rPr>
            </w:pPr>
            <w:r>
              <w:rPr>
                <w:rFonts w:hint="eastAsia"/>
                <w:b/>
                <w:bCs/>
                <w:szCs w:val="21"/>
                <w:highlight w:val="none"/>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highlight w:val="none"/>
                <w:lang w:val="en-US" w:eastAsia="zh-CN"/>
              </w:rPr>
            </w:pPr>
            <w:bookmarkStart w:id="4" w:name="_GoBack" w:colFirst="11" w:colLast="11"/>
            <w:r>
              <w:rPr>
                <w:rFonts w:hint="eastAsia"/>
                <w:b/>
                <w:szCs w:val="21"/>
                <w:highlight w:val="none"/>
              </w:rPr>
              <w:t>1.思想政治与师德</w:t>
            </w:r>
            <w:r>
              <w:rPr>
                <w:rFonts w:hint="eastAsia"/>
                <w:b/>
                <w:szCs w:val="21"/>
                <w:highlight w:val="none"/>
                <w:lang w:val="en-US" w:eastAsia="zh-CN"/>
              </w:rPr>
              <w:t>师风（满分40分）</w:t>
            </w:r>
          </w:p>
        </w:tc>
        <w:tc>
          <w:tcPr>
            <w:tcW w:w="1163" w:type="dxa"/>
            <w:vAlign w:val="center"/>
          </w:tcPr>
          <w:p w14:paraId="2FB1F834">
            <w:pPr>
              <w:adjustRightInd w:val="0"/>
              <w:snapToGrid w:val="0"/>
              <w:spacing w:line="276" w:lineRule="auto"/>
              <w:jc w:val="center"/>
              <w:rPr>
                <w:szCs w:val="21"/>
                <w:highlight w:val="none"/>
              </w:rPr>
            </w:pPr>
            <w:r>
              <w:rPr>
                <w:rFonts w:hint="eastAsia"/>
                <w:szCs w:val="21"/>
                <w:highlight w:val="none"/>
              </w:rPr>
              <w:t xml:space="preserve">1-1 </w:t>
            </w:r>
          </w:p>
        </w:tc>
        <w:tc>
          <w:tcPr>
            <w:tcW w:w="14536" w:type="dxa"/>
            <w:gridSpan w:val="10"/>
            <w:vAlign w:val="center"/>
          </w:tcPr>
          <w:p w14:paraId="726327DB">
            <w:pPr>
              <w:adjustRightInd w:val="0"/>
              <w:snapToGrid w:val="0"/>
              <w:spacing w:line="276" w:lineRule="auto"/>
              <w:rPr>
                <w:rFonts w:hint="eastAsia"/>
                <w:color w:val="auto"/>
                <w:szCs w:val="21"/>
                <w:highlight w:val="none"/>
                <w:lang w:val="en-US" w:eastAsia="zh-CN"/>
              </w:rPr>
            </w:pPr>
            <w:r>
              <w:rPr>
                <w:rFonts w:hint="eastAsia"/>
                <w:color w:val="auto"/>
                <w:szCs w:val="21"/>
                <w:highlight w:val="none"/>
                <w:lang w:val="en-US" w:eastAsia="zh-CN"/>
              </w:rPr>
              <w:t>工作业绩突出，个人获得国家级、省部级、市厅级表彰奖励。</w:t>
            </w:r>
          </w:p>
          <w:p w14:paraId="45B5723A">
            <w:pPr>
              <w:adjustRightInd w:val="0"/>
              <w:snapToGrid w:val="0"/>
              <w:spacing w:line="276" w:lineRule="auto"/>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0068EE75">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1D01416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highlight w:val="none"/>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highlight w:val="none"/>
              </w:rPr>
            </w:pPr>
          </w:p>
        </w:tc>
        <w:tc>
          <w:tcPr>
            <w:tcW w:w="1163" w:type="dxa"/>
            <w:vAlign w:val="center"/>
          </w:tcPr>
          <w:p w14:paraId="500FCCA3">
            <w:pPr>
              <w:adjustRightInd w:val="0"/>
              <w:snapToGrid w:val="0"/>
              <w:spacing w:line="276" w:lineRule="auto"/>
              <w:jc w:val="center"/>
              <w:rPr>
                <w:szCs w:val="21"/>
                <w:highlight w:val="none"/>
              </w:rPr>
            </w:pPr>
            <w:r>
              <w:rPr>
                <w:rFonts w:hint="eastAsia"/>
                <w:szCs w:val="21"/>
                <w:highlight w:val="none"/>
              </w:rPr>
              <w:t>1-2</w:t>
            </w:r>
          </w:p>
        </w:tc>
        <w:tc>
          <w:tcPr>
            <w:tcW w:w="14536" w:type="dxa"/>
            <w:gridSpan w:val="10"/>
            <w:vAlign w:val="center"/>
          </w:tcPr>
          <w:p w14:paraId="27B0D4A7">
            <w:pPr>
              <w:adjustRightInd w:val="0"/>
              <w:snapToGrid w:val="0"/>
              <w:spacing w:line="276" w:lineRule="auto"/>
              <w:rPr>
                <w:rFonts w:hint="eastAsia" w:eastAsia="宋体"/>
                <w:color w:val="auto"/>
                <w:szCs w:val="21"/>
                <w:highlight w:val="none"/>
                <w:lang w:val="en-US" w:eastAsia="zh-CN"/>
              </w:rPr>
            </w:pPr>
            <w:r>
              <w:rPr>
                <w:rFonts w:hint="eastAsia" w:eastAsia="宋体"/>
                <w:color w:val="auto"/>
                <w:szCs w:val="21"/>
                <w:highlight w:val="none"/>
                <w:lang w:val="en-US" w:eastAsia="zh-CN"/>
              </w:rPr>
              <w:t>师德师风先进事迹宣传报道</w:t>
            </w:r>
          </w:p>
          <w:p w14:paraId="49E129EA">
            <w:pPr>
              <w:adjustRightInd w:val="0"/>
              <w:snapToGrid w:val="0"/>
              <w:spacing w:line="276" w:lineRule="auto"/>
              <w:rPr>
                <w:rFonts w:hint="eastAsia"/>
                <w:color w:val="auto"/>
                <w:szCs w:val="21"/>
                <w:highlight w:val="none"/>
                <w:lang w:val="en-US" w:eastAsia="zh-CN"/>
              </w:rPr>
            </w:pPr>
            <w:r>
              <w:rPr>
                <w:rFonts w:hint="eastAsia"/>
                <w:color w:val="auto"/>
                <w:szCs w:val="21"/>
                <w:highlight w:val="none"/>
                <w:lang w:val="en-US" w:eastAsia="zh-CN"/>
              </w:rPr>
              <w:t>1）2021年3月10日，湖南开放大学：教学改革与时俱进 为大数据人才培养添砖加瓦，《中国网》，计25分；</w:t>
            </w:r>
          </w:p>
          <w:p w14:paraId="4B43892C">
            <w:pPr>
              <w:adjustRightInd w:val="0"/>
              <w:snapToGrid w:val="0"/>
              <w:spacing w:line="276" w:lineRule="auto"/>
              <w:rPr>
                <w:rFonts w:hint="eastAsia"/>
                <w:b w:val="0"/>
                <w:bCs w:val="0"/>
                <w:color w:val="auto"/>
                <w:sz w:val="21"/>
                <w:szCs w:val="21"/>
                <w:highlight w:val="none"/>
                <w:lang w:val="en-US" w:eastAsia="zh-CN"/>
              </w:rPr>
            </w:pPr>
            <w:r>
              <w:rPr>
                <w:rFonts w:hint="eastAsia"/>
                <w:color w:val="auto"/>
                <w:szCs w:val="21"/>
                <w:highlight w:val="none"/>
                <w:lang w:val="en-US" w:eastAsia="zh-CN"/>
              </w:rPr>
              <w:t>2）2024年5月15日，市场叫座 学生吃香，《湖南日报》要闻</w:t>
            </w:r>
            <w:r>
              <w:rPr>
                <w:rFonts w:hint="eastAsia"/>
                <w:b w:val="0"/>
                <w:bCs w:val="0"/>
                <w:color w:val="auto"/>
                <w:sz w:val="21"/>
                <w:szCs w:val="21"/>
                <w:highlight w:val="none"/>
                <w:lang w:val="en-US" w:eastAsia="zh-CN"/>
              </w:rPr>
              <w:t>·第3版，计12分；</w:t>
            </w:r>
          </w:p>
          <w:p w14:paraId="54E5CC32">
            <w:pPr>
              <w:adjustRightInd w:val="0"/>
              <w:snapToGrid w:val="0"/>
              <w:spacing w:line="276" w:lineRule="auto"/>
              <w:rPr>
                <w:rFonts w:hint="eastAsia"/>
                <w:b w:val="0"/>
                <w:bCs w:val="0"/>
                <w:color w:val="auto"/>
                <w:sz w:val="21"/>
                <w:szCs w:val="21"/>
                <w:highlight w:val="none"/>
                <w:lang w:val="en-US" w:eastAsia="zh-CN"/>
              </w:rPr>
            </w:pPr>
            <w:r>
              <w:rPr>
                <w:rFonts w:hint="eastAsia"/>
                <w:b w:val="0"/>
                <w:bCs w:val="0"/>
                <w:color w:val="auto"/>
                <w:sz w:val="21"/>
                <w:szCs w:val="21"/>
                <w:highlight w:val="none"/>
                <w:lang w:val="en-US" w:eastAsia="zh-CN"/>
              </w:rPr>
              <w:t>3）2022年12月30日，云上课堂开讲啦！湖南开放大学线上教学也精彩，《红网时刻》，计12分；</w:t>
            </w:r>
          </w:p>
          <w:p w14:paraId="4D1A090F">
            <w:pPr>
              <w:adjustRightInd w:val="0"/>
              <w:snapToGrid w:val="0"/>
              <w:spacing w:line="276" w:lineRule="auto"/>
              <w:rPr>
                <w:rFonts w:hint="eastAsia"/>
                <w:b w:val="0"/>
                <w:bCs w:val="0"/>
                <w:color w:val="auto"/>
                <w:sz w:val="21"/>
                <w:szCs w:val="21"/>
                <w:highlight w:val="none"/>
                <w:lang w:val="en-US" w:eastAsia="zh-CN"/>
              </w:rPr>
            </w:pPr>
            <w:r>
              <w:rPr>
                <w:rFonts w:hint="eastAsia"/>
                <w:b w:val="0"/>
                <w:bCs w:val="0"/>
                <w:color w:val="auto"/>
                <w:sz w:val="21"/>
                <w:szCs w:val="21"/>
                <w:highlight w:val="none"/>
                <w:lang w:val="en-US" w:eastAsia="zh-CN"/>
              </w:rPr>
              <w:t>4）2021年6月4日，湖南开放大学举办全省“老年人运用智能技术”课程教师培训，《红网时刻》，计12分；</w:t>
            </w:r>
          </w:p>
          <w:p w14:paraId="0C0258C0">
            <w:pPr>
              <w:adjustRightInd w:val="0"/>
              <w:snapToGrid w:val="0"/>
              <w:spacing w:line="276" w:lineRule="auto"/>
              <w:rPr>
                <w:rFonts w:hint="default"/>
                <w:b w:val="0"/>
                <w:bCs w:val="0"/>
                <w:color w:val="auto"/>
                <w:sz w:val="21"/>
                <w:szCs w:val="21"/>
                <w:highlight w:val="none"/>
                <w:lang w:val="en-US" w:eastAsia="zh-CN"/>
              </w:rPr>
            </w:pPr>
            <w:r>
              <w:rPr>
                <w:rFonts w:hint="eastAsia"/>
                <w:b w:val="0"/>
                <w:bCs w:val="0"/>
                <w:color w:val="auto"/>
                <w:sz w:val="21"/>
                <w:szCs w:val="21"/>
                <w:highlight w:val="none"/>
                <w:lang w:val="en-US" w:eastAsia="zh-CN"/>
              </w:rPr>
              <w:t>5）2020年6月9日，百校教师云端组队众创资源携手战“疫”，《湖南日报》市洲观察·第11版，计12分。</w:t>
            </w:r>
          </w:p>
        </w:tc>
        <w:tc>
          <w:tcPr>
            <w:tcW w:w="1200" w:type="dxa"/>
            <w:vAlign w:val="center"/>
          </w:tcPr>
          <w:p w14:paraId="3E8B912A">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73</w:t>
            </w:r>
          </w:p>
        </w:tc>
        <w:tc>
          <w:tcPr>
            <w:tcW w:w="1274" w:type="dxa"/>
            <w:vAlign w:val="center"/>
          </w:tcPr>
          <w:p w14:paraId="793DFA70">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25</w:t>
            </w:r>
          </w:p>
        </w:tc>
        <w:tc>
          <w:tcPr>
            <w:tcW w:w="2331" w:type="dxa"/>
            <w:vAlign w:val="center"/>
          </w:tcPr>
          <w:p w14:paraId="7116DB54">
            <w:pPr>
              <w:adjustRightInd w:val="0"/>
              <w:snapToGrid w:val="0"/>
              <w:spacing w:line="276" w:lineRule="auto"/>
              <w:jc w:val="center"/>
              <w:rPr>
                <w:color w:val="A6A6A6" w:themeColor="background1" w:themeShade="A6"/>
                <w:szCs w:val="21"/>
                <w:highlight w:val="none"/>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highlight w:val="none"/>
              </w:rPr>
            </w:pPr>
          </w:p>
        </w:tc>
        <w:tc>
          <w:tcPr>
            <w:tcW w:w="1163" w:type="dxa"/>
            <w:vAlign w:val="center"/>
          </w:tcPr>
          <w:p w14:paraId="4250F0D2">
            <w:pPr>
              <w:adjustRightInd w:val="0"/>
              <w:snapToGrid w:val="0"/>
              <w:spacing w:line="276" w:lineRule="auto"/>
              <w:jc w:val="center"/>
              <w:rPr>
                <w:szCs w:val="21"/>
                <w:highlight w:val="none"/>
              </w:rPr>
            </w:pPr>
            <w:r>
              <w:rPr>
                <w:rFonts w:hint="eastAsia"/>
                <w:szCs w:val="21"/>
                <w:highlight w:val="none"/>
              </w:rPr>
              <w:t>1-3</w:t>
            </w:r>
          </w:p>
        </w:tc>
        <w:tc>
          <w:tcPr>
            <w:tcW w:w="14536" w:type="dxa"/>
            <w:gridSpan w:val="10"/>
            <w:vAlign w:val="center"/>
          </w:tcPr>
          <w:p w14:paraId="7BCF65C2">
            <w:pPr>
              <w:adjustRightInd w:val="0"/>
              <w:snapToGrid w:val="0"/>
              <w:spacing w:line="276" w:lineRule="auto"/>
              <w:rPr>
                <w:rFonts w:hint="eastAsia"/>
                <w:color w:val="auto"/>
                <w:szCs w:val="21"/>
                <w:highlight w:val="none"/>
                <w:lang w:val="en-US" w:eastAsia="zh-CN"/>
              </w:rPr>
            </w:pPr>
            <w:r>
              <w:rPr>
                <w:rFonts w:hint="eastAsia"/>
                <w:color w:val="auto"/>
                <w:szCs w:val="21"/>
                <w:highlight w:val="none"/>
                <w:lang w:val="en-US" w:eastAsia="zh-CN"/>
              </w:rPr>
              <w:t>开放教育办学体系获奖情况</w:t>
            </w:r>
          </w:p>
          <w:p w14:paraId="195FBA70">
            <w:pPr>
              <w:adjustRightInd w:val="0"/>
              <w:snapToGrid w:val="0"/>
              <w:spacing w:line="276" w:lineRule="auto"/>
              <w:rPr>
                <w:rFonts w:hint="default"/>
                <w:color w:val="4F81BD" w:themeColor="accent1"/>
                <w:szCs w:val="21"/>
                <w:highlight w:val="none"/>
                <w:lang w:val="en-US" w:eastAsia="zh-CN"/>
                <w14:textFill>
                  <w14:solidFill>
                    <w14:schemeClr w14:val="accent1"/>
                  </w14:solidFill>
                </w14:textFill>
              </w:rPr>
            </w:pPr>
            <w:r>
              <w:rPr>
                <w:rFonts w:hint="eastAsia"/>
                <w:color w:val="auto"/>
                <w:szCs w:val="21"/>
                <w:highlight w:val="none"/>
              </w:rPr>
              <w:t>1）</w:t>
            </w:r>
            <w:r>
              <w:rPr>
                <w:rFonts w:hint="eastAsia"/>
                <w:color w:val="auto"/>
                <w:szCs w:val="21"/>
                <w:highlight w:val="none"/>
                <w:lang w:eastAsia="zh-CN"/>
              </w:rPr>
              <w:t>20</w:t>
            </w:r>
            <w:r>
              <w:rPr>
                <w:rFonts w:hint="eastAsia"/>
                <w:color w:val="auto"/>
                <w:szCs w:val="21"/>
                <w:highlight w:val="none"/>
                <w:lang w:val="en-US" w:eastAsia="zh-CN"/>
              </w:rPr>
              <w:t>19</w:t>
            </w:r>
            <w:r>
              <w:rPr>
                <w:rFonts w:hint="eastAsia"/>
                <w:color w:val="auto"/>
                <w:szCs w:val="21"/>
                <w:highlight w:val="none"/>
              </w:rPr>
              <w:t>年9月，优秀教师，</w:t>
            </w:r>
            <w:r>
              <w:rPr>
                <w:rFonts w:hint="eastAsia"/>
                <w:color w:val="auto"/>
                <w:szCs w:val="21"/>
                <w:highlight w:val="none"/>
                <w:lang w:eastAsia="zh-CN"/>
              </w:rPr>
              <w:t>湖南</w:t>
            </w:r>
            <w:r>
              <w:rPr>
                <w:rFonts w:hint="eastAsia"/>
                <w:color w:val="auto"/>
                <w:szCs w:val="21"/>
                <w:highlight w:val="none"/>
                <w:lang w:val="en-US" w:eastAsia="zh-CN"/>
              </w:rPr>
              <w:t>广播电视</w:t>
            </w:r>
            <w:r>
              <w:rPr>
                <w:rFonts w:hint="eastAsia"/>
                <w:color w:val="auto"/>
                <w:szCs w:val="21"/>
                <w:highlight w:val="none"/>
                <w:lang w:eastAsia="zh-CN"/>
              </w:rPr>
              <w:t>大学</w:t>
            </w:r>
            <w:r>
              <w:rPr>
                <w:rFonts w:hint="eastAsia"/>
                <w:color w:val="auto"/>
                <w:szCs w:val="21"/>
                <w:highlight w:val="none"/>
              </w:rPr>
              <w:t>，计</w:t>
            </w:r>
            <w:r>
              <w:rPr>
                <w:rFonts w:hint="eastAsia"/>
                <w:color w:val="auto"/>
                <w:szCs w:val="21"/>
                <w:highlight w:val="none"/>
                <w:lang w:val="en-US" w:eastAsia="zh-CN"/>
              </w:rPr>
              <w:t>4</w:t>
            </w:r>
            <w:r>
              <w:rPr>
                <w:rFonts w:hint="eastAsia"/>
                <w:color w:val="auto"/>
                <w:szCs w:val="21"/>
                <w:highlight w:val="none"/>
              </w:rPr>
              <w:t>分；</w:t>
            </w:r>
          </w:p>
        </w:tc>
        <w:tc>
          <w:tcPr>
            <w:tcW w:w="1200" w:type="dxa"/>
            <w:vAlign w:val="center"/>
          </w:tcPr>
          <w:p w14:paraId="650AE249">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4</w:t>
            </w:r>
          </w:p>
        </w:tc>
        <w:tc>
          <w:tcPr>
            <w:tcW w:w="1274" w:type="dxa"/>
            <w:vAlign w:val="center"/>
          </w:tcPr>
          <w:p w14:paraId="50B7C8BD">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w:t>
            </w:r>
          </w:p>
        </w:tc>
        <w:tc>
          <w:tcPr>
            <w:tcW w:w="2331" w:type="dxa"/>
            <w:vAlign w:val="center"/>
          </w:tcPr>
          <w:p w14:paraId="3F0DC3A6">
            <w:pPr>
              <w:adjustRightInd w:val="0"/>
              <w:snapToGrid w:val="0"/>
              <w:spacing w:line="276" w:lineRule="auto"/>
              <w:jc w:val="center"/>
              <w:rPr>
                <w:color w:val="A6A6A6" w:themeColor="background1" w:themeShade="A6"/>
                <w:szCs w:val="21"/>
                <w:highlight w:val="none"/>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highlight w:val="none"/>
              </w:rPr>
            </w:pPr>
          </w:p>
        </w:tc>
        <w:tc>
          <w:tcPr>
            <w:tcW w:w="1163" w:type="dxa"/>
            <w:vAlign w:val="center"/>
          </w:tcPr>
          <w:p w14:paraId="3F819AE4">
            <w:pPr>
              <w:adjustRightInd w:val="0"/>
              <w:snapToGrid w:val="0"/>
              <w:spacing w:line="276" w:lineRule="auto"/>
              <w:jc w:val="center"/>
              <w:rPr>
                <w:rFonts w:hint="eastAsia"/>
                <w:szCs w:val="21"/>
                <w:highlight w:val="none"/>
              </w:rPr>
            </w:pPr>
            <w:r>
              <w:rPr>
                <w:rFonts w:hint="eastAsia"/>
                <w:szCs w:val="21"/>
                <w:highlight w:val="none"/>
              </w:rPr>
              <w:t>1-4</w:t>
            </w:r>
          </w:p>
          <w:p w14:paraId="7084A0CB">
            <w:pPr>
              <w:adjustRightInd w:val="0"/>
              <w:snapToGrid w:val="0"/>
              <w:spacing w:line="276" w:lineRule="auto"/>
              <w:jc w:val="center"/>
              <w:rPr>
                <w:rFonts w:hint="default" w:eastAsia="宋体"/>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auto"/>
                <w:szCs w:val="21"/>
                <w:highlight w:val="none"/>
                <w:lang w:val="en-US" w:eastAsia="zh-CN"/>
              </w:rPr>
            </w:pPr>
            <w:r>
              <w:rPr>
                <w:rFonts w:hint="eastAsia" w:eastAsia="宋体"/>
                <w:color w:val="auto"/>
                <w:szCs w:val="21"/>
                <w:highlight w:val="none"/>
                <w:lang w:val="en-US" w:eastAsia="zh-CN"/>
              </w:rPr>
              <w:t>乡村振兴、驻村帮扶期间工作人员年度考核优秀</w:t>
            </w:r>
          </w:p>
          <w:p w14:paraId="6221E850">
            <w:pPr>
              <w:adjustRightInd w:val="0"/>
              <w:snapToGrid w:val="0"/>
              <w:spacing w:line="276" w:lineRule="auto"/>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6A3870F4">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26B31B33">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highlight w:val="none"/>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highlight w:val="none"/>
              </w:rPr>
            </w:pPr>
          </w:p>
        </w:tc>
        <w:tc>
          <w:tcPr>
            <w:tcW w:w="1163" w:type="dxa"/>
            <w:vAlign w:val="center"/>
          </w:tcPr>
          <w:p w14:paraId="4ACB53E2">
            <w:pPr>
              <w:adjustRightInd w:val="0"/>
              <w:snapToGrid w:val="0"/>
              <w:spacing w:line="276" w:lineRule="auto"/>
              <w:jc w:val="center"/>
              <w:rPr>
                <w:rFonts w:hint="eastAsia"/>
                <w:szCs w:val="21"/>
                <w:highlight w:val="none"/>
              </w:rPr>
            </w:pPr>
            <w:r>
              <w:rPr>
                <w:rFonts w:hint="eastAsia"/>
                <w:szCs w:val="21"/>
                <w:highlight w:val="none"/>
              </w:rPr>
              <w:t>1-5</w:t>
            </w:r>
          </w:p>
          <w:p w14:paraId="2A3FE5DD">
            <w:pPr>
              <w:adjustRightInd w:val="0"/>
              <w:snapToGrid w:val="0"/>
              <w:spacing w:line="276" w:lineRule="auto"/>
              <w:jc w:val="center"/>
              <w:rPr>
                <w:rFonts w:hint="eastAsia"/>
                <w:szCs w:val="21"/>
                <w:highlight w:val="none"/>
              </w:rPr>
            </w:pPr>
            <w:r>
              <w:rPr>
                <w:rFonts w:hint="eastAsia"/>
                <w:color w:val="auto"/>
                <w:sz w:val="16"/>
                <w:szCs w:val="16"/>
                <w:highlight w:val="none"/>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auto"/>
                <w:szCs w:val="21"/>
                <w:highlight w:val="none"/>
                <w:lang w:val="en-US" w:eastAsia="zh-CN"/>
              </w:rPr>
            </w:pPr>
            <w:r>
              <w:rPr>
                <w:rFonts w:hint="eastAsia" w:eastAsia="宋体"/>
                <w:color w:val="auto"/>
                <w:szCs w:val="21"/>
                <w:highlight w:val="none"/>
                <w:lang w:val="en-US" w:eastAsia="zh-CN"/>
              </w:rPr>
              <w:t>担任兼职班主任或辅导员或学生社团指导教师，并在其专项年度考核中评为优秀</w:t>
            </w:r>
          </w:p>
          <w:p w14:paraId="46483418">
            <w:pPr>
              <w:adjustRightInd w:val="0"/>
              <w:snapToGrid w:val="0"/>
              <w:spacing w:line="276" w:lineRule="auto"/>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43FCF60C">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7017800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highlight w:val="none"/>
              </w:rPr>
            </w:pPr>
          </w:p>
        </w:tc>
        <w:tc>
          <w:tcPr>
            <w:tcW w:w="1163" w:type="dxa"/>
            <w:vAlign w:val="center"/>
          </w:tcPr>
          <w:p w14:paraId="5D939316">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1-6</w:t>
            </w:r>
          </w:p>
          <w:p w14:paraId="2A723F12">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auto"/>
                <w:szCs w:val="21"/>
                <w:highlight w:val="none"/>
                <w:lang w:val="en-US" w:eastAsia="zh-CN"/>
              </w:rPr>
            </w:pPr>
            <w:r>
              <w:rPr>
                <w:rFonts w:hint="eastAsia"/>
                <w:color w:val="auto"/>
                <w:szCs w:val="21"/>
                <w:highlight w:val="none"/>
                <w:lang w:val="en-US" w:eastAsia="zh-CN"/>
              </w:rPr>
              <w:t>任现职以来，年度考核优秀情况</w:t>
            </w:r>
          </w:p>
          <w:p w14:paraId="5771B80E">
            <w:pPr>
              <w:adjustRightInd w:val="0"/>
              <w:snapToGrid w:val="0"/>
              <w:spacing w:line="276" w:lineRule="auto"/>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1）2017年年度考核优秀，计1分</w:t>
            </w:r>
          </w:p>
          <w:p w14:paraId="2D6F4217">
            <w:pPr>
              <w:adjustRightInd w:val="0"/>
              <w:snapToGrid w:val="0"/>
              <w:spacing w:line="276" w:lineRule="auto"/>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2）2018年年度考核优秀，计1分</w:t>
            </w:r>
          </w:p>
          <w:p w14:paraId="62F6DA39">
            <w:pPr>
              <w:adjustRightInd w:val="0"/>
              <w:snapToGrid w:val="0"/>
              <w:spacing w:line="276" w:lineRule="auto"/>
              <w:rPr>
                <w:rFonts w:hint="default"/>
                <w:b w:val="0"/>
                <w:bCs w:val="0"/>
                <w:color w:val="auto"/>
                <w:highlight w:val="none"/>
                <w:vertAlign w:val="baseline"/>
                <w:lang w:val="en-US" w:eastAsia="zh-CN"/>
              </w:rPr>
            </w:pPr>
            <w:r>
              <w:rPr>
                <w:rFonts w:hint="eastAsia"/>
                <w:b w:val="0"/>
                <w:bCs w:val="0"/>
                <w:color w:val="auto"/>
                <w:highlight w:val="none"/>
                <w:vertAlign w:val="baseline"/>
                <w:lang w:val="en-US" w:eastAsia="zh-CN"/>
              </w:rPr>
              <w:t>3）2021年年度考核优秀，计1分</w:t>
            </w:r>
          </w:p>
        </w:tc>
        <w:tc>
          <w:tcPr>
            <w:tcW w:w="1200" w:type="dxa"/>
            <w:vAlign w:val="center"/>
          </w:tcPr>
          <w:p w14:paraId="6BE6B37D">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3</w:t>
            </w:r>
          </w:p>
        </w:tc>
        <w:tc>
          <w:tcPr>
            <w:tcW w:w="1274" w:type="dxa"/>
            <w:vAlign w:val="center"/>
          </w:tcPr>
          <w:p w14:paraId="3BCCA343">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highlight w:val="none"/>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highlight w:val="none"/>
              </w:rPr>
            </w:pPr>
            <w:r>
              <w:rPr>
                <w:rFonts w:hint="eastAsia"/>
                <w:b/>
                <w:szCs w:val="21"/>
                <w:highlight w:val="none"/>
              </w:rPr>
              <w:t>2.资历与学历学位</w:t>
            </w:r>
          </w:p>
        </w:tc>
        <w:tc>
          <w:tcPr>
            <w:tcW w:w="1163" w:type="dxa"/>
            <w:vAlign w:val="center"/>
          </w:tcPr>
          <w:p w14:paraId="5FD7A916">
            <w:pPr>
              <w:adjustRightInd w:val="0"/>
              <w:snapToGrid w:val="0"/>
              <w:spacing w:line="276" w:lineRule="auto"/>
              <w:jc w:val="center"/>
              <w:rPr>
                <w:szCs w:val="21"/>
                <w:highlight w:val="none"/>
              </w:rPr>
            </w:pPr>
            <w:r>
              <w:rPr>
                <w:rFonts w:hint="eastAsia"/>
                <w:szCs w:val="21"/>
                <w:highlight w:val="none"/>
              </w:rPr>
              <w:t>2-1</w:t>
            </w:r>
          </w:p>
        </w:tc>
        <w:tc>
          <w:tcPr>
            <w:tcW w:w="14536" w:type="dxa"/>
            <w:gridSpan w:val="10"/>
            <w:vAlign w:val="center"/>
          </w:tcPr>
          <w:p w14:paraId="53168338">
            <w:pPr>
              <w:adjustRightInd w:val="0"/>
              <w:snapToGrid w:val="0"/>
              <w:spacing w:line="276" w:lineRule="auto"/>
              <w:rPr>
                <w:rFonts w:hint="eastAsia"/>
                <w:color w:val="4F81BD" w:themeColor="accent1"/>
                <w:szCs w:val="21"/>
                <w:highlight w:val="none"/>
                <w:lang w:val="en-US" w:eastAsia="zh-CN"/>
                <w14:textFill>
                  <w14:solidFill>
                    <w14:schemeClr w14:val="accent1"/>
                  </w14:solidFill>
                </w14:textFill>
              </w:rPr>
            </w:pPr>
            <w:r>
              <w:rPr>
                <w:rFonts w:hint="eastAsia"/>
                <w:color w:val="4F81BD" w:themeColor="accent1"/>
                <w:szCs w:val="21"/>
                <w:highlight w:val="none"/>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highlight w:val="none"/>
                <w:vertAlign w:val="baseline"/>
                <w:lang w:val="en-US" w:eastAsia="zh-CN"/>
              </w:rPr>
            </w:pPr>
            <w:r>
              <w:rPr>
                <w:rFonts w:hint="eastAsia" w:eastAsia="宋体"/>
                <w:b w:val="0"/>
                <w:bCs w:val="0"/>
                <w:color w:val="auto"/>
                <w:highlight w:val="none"/>
                <w:vertAlign w:val="baseline"/>
                <w:lang w:val="en-US" w:eastAsia="zh-CN"/>
              </w:rPr>
              <w:t>1）20</w:t>
            </w:r>
            <w:r>
              <w:rPr>
                <w:rFonts w:hint="eastAsia"/>
                <w:b w:val="0"/>
                <w:bCs w:val="0"/>
                <w:color w:val="auto"/>
                <w:highlight w:val="none"/>
                <w:vertAlign w:val="baseline"/>
                <w:lang w:val="en-US" w:eastAsia="zh-CN"/>
              </w:rPr>
              <w:t>13</w:t>
            </w:r>
            <w:r>
              <w:rPr>
                <w:rFonts w:hint="eastAsia" w:eastAsia="宋体"/>
                <w:b w:val="0"/>
                <w:bCs w:val="0"/>
                <w:color w:val="auto"/>
                <w:highlight w:val="none"/>
                <w:vertAlign w:val="baseline"/>
                <w:lang w:val="en-US" w:eastAsia="zh-CN"/>
              </w:rPr>
              <w:t>年获得</w:t>
            </w:r>
            <w:r>
              <w:rPr>
                <w:rFonts w:hint="eastAsia"/>
                <w:b w:val="0"/>
                <w:bCs w:val="0"/>
                <w:color w:val="auto"/>
                <w:highlight w:val="none"/>
                <w:vertAlign w:val="baseline"/>
                <w:lang w:val="en-US" w:eastAsia="zh-CN"/>
              </w:rPr>
              <w:t>中南大学硕士</w:t>
            </w:r>
            <w:r>
              <w:rPr>
                <w:rFonts w:hint="eastAsia" w:eastAsia="宋体"/>
                <w:b w:val="0"/>
                <w:bCs w:val="0"/>
                <w:color w:val="auto"/>
                <w:highlight w:val="none"/>
                <w:vertAlign w:val="baseline"/>
                <w:lang w:val="en-US" w:eastAsia="zh-CN"/>
              </w:rPr>
              <w:t>学位，计</w:t>
            </w:r>
            <w:r>
              <w:rPr>
                <w:rFonts w:hint="eastAsia"/>
                <w:b w:val="0"/>
                <w:bCs w:val="0"/>
                <w:color w:val="auto"/>
                <w:highlight w:val="none"/>
                <w:vertAlign w:val="baseline"/>
                <w:lang w:val="en-US" w:eastAsia="zh-CN"/>
              </w:rPr>
              <w:t>4</w:t>
            </w:r>
            <w:r>
              <w:rPr>
                <w:rFonts w:hint="eastAsia" w:eastAsia="宋体"/>
                <w:b w:val="0"/>
                <w:bCs w:val="0"/>
                <w:color w:val="auto"/>
                <w:highlight w:val="none"/>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4</w:t>
            </w:r>
          </w:p>
        </w:tc>
        <w:tc>
          <w:tcPr>
            <w:tcW w:w="1274" w:type="dxa"/>
            <w:vAlign w:val="center"/>
          </w:tcPr>
          <w:p w14:paraId="218C385A">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highlight w:val="none"/>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highlight w:val="none"/>
              </w:rPr>
            </w:pPr>
          </w:p>
        </w:tc>
        <w:tc>
          <w:tcPr>
            <w:tcW w:w="1163" w:type="dxa"/>
            <w:vAlign w:val="center"/>
          </w:tcPr>
          <w:p w14:paraId="6658406D">
            <w:pPr>
              <w:adjustRightInd w:val="0"/>
              <w:snapToGrid w:val="0"/>
              <w:spacing w:line="276" w:lineRule="auto"/>
              <w:jc w:val="center"/>
              <w:rPr>
                <w:rFonts w:hint="eastAsia"/>
                <w:szCs w:val="21"/>
                <w:highlight w:val="none"/>
              </w:rPr>
            </w:pPr>
            <w:r>
              <w:rPr>
                <w:rFonts w:hint="eastAsia"/>
                <w:szCs w:val="21"/>
                <w:highlight w:val="none"/>
              </w:rPr>
              <w:t>2-2</w:t>
            </w:r>
          </w:p>
        </w:tc>
        <w:tc>
          <w:tcPr>
            <w:tcW w:w="14536" w:type="dxa"/>
            <w:gridSpan w:val="10"/>
            <w:vAlign w:val="center"/>
          </w:tcPr>
          <w:p w14:paraId="1A62189A">
            <w:pPr>
              <w:adjustRightInd w:val="0"/>
              <w:snapToGrid w:val="0"/>
              <w:spacing w:line="276" w:lineRule="auto"/>
              <w:rPr>
                <w:rFonts w:hint="eastAsia" w:eastAsia="宋体"/>
                <w:b w:val="0"/>
                <w:bCs w:val="0"/>
                <w:color w:val="auto"/>
                <w:highlight w:val="none"/>
                <w:vertAlign w:val="baseline"/>
                <w:lang w:val="en-US" w:eastAsia="zh-CN"/>
              </w:rPr>
            </w:pPr>
            <w:r>
              <w:rPr>
                <w:rFonts w:hint="eastAsia" w:eastAsia="宋体"/>
                <w:color w:val="4F81BD" w:themeColor="accent1"/>
                <w:szCs w:val="21"/>
                <w:highlight w:val="none"/>
                <w:lang w:val="en-US" w:eastAsia="zh-CN"/>
                <w14:textFill>
                  <w14:solidFill>
                    <w14:schemeClr w14:val="accent1"/>
                  </w14:solidFill>
                </w14:textFill>
              </w:rPr>
              <w:t>外语和计算机水平</w:t>
            </w:r>
          </w:p>
          <w:p w14:paraId="11C6F731">
            <w:pPr>
              <w:adjustRightInd w:val="0"/>
              <w:snapToGrid w:val="0"/>
              <w:spacing w:line="276" w:lineRule="auto"/>
              <w:rPr>
                <w:rFonts w:hint="default" w:eastAsia="宋体"/>
                <w:b w:val="0"/>
                <w:bCs w:val="0"/>
                <w:color w:val="auto"/>
                <w:highlight w:val="none"/>
                <w:vertAlign w:val="baseline"/>
                <w:lang w:val="en-US" w:eastAsia="zh-CN"/>
              </w:rPr>
            </w:pPr>
            <w:r>
              <w:rPr>
                <w:rFonts w:hint="eastAsia"/>
                <w:b w:val="0"/>
                <w:bCs w:val="0"/>
                <w:color w:val="auto"/>
                <w:highlight w:val="none"/>
                <w:vertAlign w:val="baseline"/>
                <w:lang w:val="en-US" w:eastAsia="zh-CN"/>
              </w:rPr>
              <w:t>1）全国职称外语水平考试证书，符合</w:t>
            </w:r>
            <w:r>
              <w:rPr>
                <w:rFonts w:hint="eastAsia" w:eastAsia="宋体"/>
                <w:b w:val="0"/>
                <w:bCs w:val="0"/>
                <w:color w:val="auto"/>
                <w:highlight w:val="none"/>
                <w:vertAlign w:val="baseline"/>
                <w:lang w:val="en-US" w:eastAsia="zh-CN"/>
              </w:rPr>
              <w:t>外语考试目录的</w:t>
            </w:r>
            <w:r>
              <w:rPr>
                <w:rFonts w:hint="eastAsia"/>
                <w:b w:val="0"/>
                <w:bCs w:val="0"/>
                <w:color w:val="auto"/>
                <w:highlight w:val="none"/>
                <w:vertAlign w:val="baseline"/>
                <w:lang w:val="en-US" w:eastAsia="zh-CN"/>
              </w:rPr>
              <w:t>第一条中英语成绩50分及以上，计3分；</w:t>
            </w:r>
            <w:r>
              <w:rPr>
                <w:rFonts w:hint="eastAsia"/>
                <w:b w:val="0"/>
                <w:bCs w:val="0"/>
                <w:color w:val="auto"/>
                <w:highlight w:val="none"/>
                <w:vertAlign w:val="baseline"/>
                <w:lang w:val="en-US" w:eastAsia="zh-CN"/>
              </w:rPr>
              <w:br w:type="textWrapping"/>
            </w:r>
            <w:r>
              <w:rPr>
                <w:rFonts w:hint="eastAsia"/>
                <w:b w:val="0"/>
                <w:bCs w:val="0"/>
                <w:color w:val="auto"/>
                <w:highlight w:val="none"/>
                <w:vertAlign w:val="baseline"/>
                <w:lang w:val="en-US" w:eastAsia="zh-CN"/>
              </w:rPr>
              <w:t>2）计算机专业本科毕业证，符合</w:t>
            </w:r>
            <w:r>
              <w:rPr>
                <w:rFonts w:hint="eastAsia" w:eastAsia="宋体"/>
                <w:b w:val="0"/>
                <w:bCs w:val="0"/>
                <w:color w:val="auto"/>
                <w:highlight w:val="none"/>
                <w:vertAlign w:val="baseline"/>
                <w:lang w:val="en-US" w:eastAsia="zh-CN"/>
              </w:rPr>
              <w:t>计算机考试目录</w:t>
            </w:r>
            <w:r>
              <w:rPr>
                <w:rFonts w:hint="eastAsia"/>
                <w:b w:val="0"/>
                <w:bCs w:val="0"/>
                <w:color w:val="auto"/>
                <w:highlight w:val="none"/>
                <w:vertAlign w:val="baseline"/>
                <w:lang w:val="en-US" w:eastAsia="zh-CN"/>
              </w:rPr>
              <w:t>第三条中获得计算机专业大专及以上学历，计3分。</w:t>
            </w:r>
          </w:p>
        </w:tc>
        <w:tc>
          <w:tcPr>
            <w:tcW w:w="1200" w:type="dxa"/>
            <w:vAlign w:val="center"/>
          </w:tcPr>
          <w:p w14:paraId="5983BF1A">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highlight w:val="none"/>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highlight w:val="none"/>
              </w:rPr>
            </w:pPr>
          </w:p>
        </w:tc>
        <w:tc>
          <w:tcPr>
            <w:tcW w:w="1163" w:type="dxa"/>
            <w:vAlign w:val="center"/>
          </w:tcPr>
          <w:p w14:paraId="02AC0D9E">
            <w:pPr>
              <w:adjustRightInd w:val="0"/>
              <w:snapToGrid w:val="0"/>
              <w:spacing w:line="276" w:lineRule="auto"/>
              <w:jc w:val="center"/>
              <w:rPr>
                <w:szCs w:val="21"/>
                <w:highlight w:val="none"/>
              </w:rPr>
            </w:pPr>
            <w:r>
              <w:rPr>
                <w:rFonts w:hint="eastAsia"/>
                <w:szCs w:val="21"/>
                <w:highlight w:val="none"/>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继续教育合格证明</w:t>
            </w:r>
          </w:p>
          <w:p w14:paraId="6CB7234A">
            <w:pPr>
              <w:adjustRightInd w:val="0"/>
              <w:snapToGrid w:val="0"/>
              <w:spacing w:line="276" w:lineRule="auto"/>
              <w:rPr>
                <w:rFonts w:hint="default" w:eastAsia="宋体"/>
                <w:b w:val="0"/>
                <w:bCs w:val="0"/>
                <w:color w:val="auto"/>
                <w:highlight w:val="none"/>
                <w:vertAlign w:val="baseline"/>
                <w:lang w:val="en-US" w:eastAsia="zh-CN"/>
              </w:rPr>
            </w:pPr>
            <w:r>
              <w:rPr>
                <w:rFonts w:hint="eastAsia"/>
                <w:b w:val="0"/>
                <w:bCs w:val="0"/>
                <w:color w:val="auto"/>
                <w:highlight w:val="none"/>
                <w:vertAlign w:val="baseline"/>
                <w:lang w:val="en-US" w:eastAsia="zh-CN"/>
              </w:rPr>
              <w:t>1）2020年度至2024年度继续教育经人社部门验证合格，计5分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highlight w:val="none"/>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highlight w:val="none"/>
              </w:rPr>
            </w:pPr>
          </w:p>
        </w:tc>
        <w:tc>
          <w:tcPr>
            <w:tcW w:w="1163" w:type="dxa"/>
            <w:vAlign w:val="center"/>
          </w:tcPr>
          <w:p w14:paraId="715E06E1">
            <w:pPr>
              <w:adjustRightInd w:val="0"/>
              <w:snapToGrid w:val="0"/>
              <w:spacing w:line="276" w:lineRule="auto"/>
              <w:jc w:val="center"/>
              <w:rPr>
                <w:szCs w:val="21"/>
                <w:highlight w:val="none"/>
              </w:rPr>
            </w:pPr>
            <w:r>
              <w:rPr>
                <w:rFonts w:hint="eastAsia"/>
                <w:szCs w:val="21"/>
                <w:highlight w:val="none"/>
              </w:rPr>
              <w:t>2-4</w:t>
            </w:r>
          </w:p>
        </w:tc>
        <w:tc>
          <w:tcPr>
            <w:tcW w:w="14536" w:type="dxa"/>
            <w:gridSpan w:val="10"/>
            <w:vAlign w:val="center"/>
          </w:tcPr>
          <w:p w14:paraId="065685B8">
            <w:pPr>
              <w:adjustRightInd w:val="0"/>
              <w:snapToGrid w:val="0"/>
              <w:spacing w:line="276" w:lineRule="auto"/>
              <w:rPr>
                <w:rFonts w:hint="eastAsia" w:eastAsia="宋体"/>
                <w:b w:val="0"/>
                <w:bCs w:val="0"/>
                <w:color w:val="auto"/>
                <w:highlight w:val="none"/>
                <w:vertAlign w:val="baseline"/>
                <w:lang w:val="en-US" w:eastAsia="zh-CN"/>
              </w:rPr>
            </w:pPr>
            <w:r>
              <w:rPr>
                <w:rFonts w:hint="eastAsia" w:eastAsia="宋体"/>
                <w:color w:val="4F81BD" w:themeColor="accent1"/>
                <w:szCs w:val="21"/>
                <w:highlight w:val="none"/>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highlight w:val="none"/>
                <w:vertAlign w:val="baseline"/>
                <w:lang w:val="en-US" w:eastAsia="zh-CN"/>
              </w:rPr>
            </w:pPr>
            <w:r>
              <w:rPr>
                <w:rFonts w:hint="eastAsia"/>
                <w:b w:val="0"/>
                <w:bCs w:val="0"/>
                <w:color w:val="auto"/>
                <w:highlight w:val="none"/>
                <w:vertAlign w:val="baseline"/>
                <w:lang w:val="en-US" w:eastAsia="zh-CN"/>
              </w:rPr>
              <w:t>1）2025年7月，经学校评议认定为双师型教师认定为高级，2025，计8分。</w:t>
            </w:r>
          </w:p>
        </w:tc>
        <w:tc>
          <w:tcPr>
            <w:tcW w:w="1200" w:type="dxa"/>
            <w:vAlign w:val="center"/>
          </w:tcPr>
          <w:p w14:paraId="3314DA1D">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8</w:t>
            </w:r>
          </w:p>
        </w:tc>
        <w:tc>
          <w:tcPr>
            <w:tcW w:w="1274" w:type="dxa"/>
            <w:vAlign w:val="center"/>
          </w:tcPr>
          <w:p w14:paraId="66569947">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highlight w:val="none"/>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highlight w:val="none"/>
              </w:rPr>
            </w:pPr>
            <w:r>
              <w:rPr>
                <w:rFonts w:hint="eastAsia"/>
                <w:b/>
                <w:szCs w:val="21"/>
                <w:highlight w:val="none"/>
              </w:rPr>
              <w:t>3.教育教学</w:t>
            </w:r>
          </w:p>
        </w:tc>
        <w:tc>
          <w:tcPr>
            <w:tcW w:w="1163" w:type="dxa"/>
            <w:vAlign w:val="center"/>
          </w:tcPr>
          <w:p w14:paraId="5F662759">
            <w:pPr>
              <w:adjustRightInd w:val="0"/>
              <w:snapToGrid w:val="0"/>
              <w:spacing w:line="276" w:lineRule="auto"/>
              <w:jc w:val="center"/>
              <w:rPr>
                <w:rFonts w:hint="eastAsia"/>
                <w:szCs w:val="21"/>
                <w:highlight w:val="none"/>
              </w:rPr>
            </w:pPr>
            <w:r>
              <w:rPr>
                <w:rFonts w:hint="eastAsia"/>
                <w:szCs w:val="21"/>
                <w:highlight w:val="none"/>
              </w:rPr>
              <w:t>3-1</w:t>
            </w:r>
          </w:p>
          <w:p w14:paraId="1A8CEE9B">
            <w:pPr>
              <w:adjustRightInd w:val="0"/>
              <w:snapToGrid w:val="0"/>
              <w:spacing w:line="276" w:lineRule="auto"/>
              <w:jc w:val="center"/>
              <w:rPr>
                <w:rFonts w:hint="eastAsia"/>
                <w:szCs w:val="21"/>
                <w:highlight w:val="none"/>
              </w:rPr>
            </w:pPr>
            <w:r>
              <w:rPr>
                <w:rFonts w:hint="eastAsia"/>
                <w:sz w:val="20"/>
                <w:szCs w:val="20"/>
                <w:highlight w:val="none"/>
                <w:lang w:eastAsia="zh-CN"/>
              </w:rPr>
              <w:t>（</w:t>
            </w:r>
            <w:r>
              <w:rPr>
                <w:rFonts w:hint="eastAsia"/>
                <w:sz w:val="15"/>
                <w:szCs w:val="15"/>
                <w:highlight w:val="none"/>
                <w:lang w:val="en-US" w:eastAsia="zh-CN"/>
              </w:rPr>
              <w:t>满分10分）</w:t>
            </w:r>
          </w:p>
        </w:tc>
        <w:tc>
          <w:tcPr>
            <w:tcW w:w="14536" w:type="dxa"/>
            <w:gridSpan w:val="10"/>
            <w:vAlign w:val="center"/>
          </w:tcPr>
          <w:p w14:paraId="7935B27B">
            <w:pPr>
              <w:adjustRightInd w:val="0"/>
              <w:snapToGrid w:val="0"/>
              <w:spacing w:line="276"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2020年</w:t>
            </w:r>
            <w:r>
              <w:rPr>
                <w:rFonts w:hint="eastAsia"/>
                <w:color w:val="000000" w:themeColor="text1"/>
                <w:szCs w:val="21"/>
                <w:highlight w:val="none"/>
                <w:lang w:val="en-US" w:eastAsia="zh-CN"/>
                <w14:textFill>
                  <w14:solidFill>
                    <w14:schemeClr w14:val="tx1"/>
                  </w14:solidFill>
                </w14:textFill>
              </w:rPr>
              <w:t>下学期</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208</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课堂教学时量148</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教学管理课时60）</w:t>
            </w:r>
          </w:p>
          <w:p w14:paraId="147C8723">
            <w:pPr>
              <w:adjustRightInd w:val="0"/>
              <w:snapToGrid w:val="0"/>
              <w:spacing w:line="276" w:lineRule="auto"/>
              <w:rPr>
                <w:rFonts w:hint="default" w:eastAsia="宋体"/>
                <w:color w:val="auto"/>
                <w:szCs w:val="21"/>
                <w:highlight w:val="none"/>
                <w:lang w:val="en-US" w:eastAsia="zh-CN"/>
              </w:rPr>
            </w:pPr>
            <w:r>
              <w:rPr>
                <w:rFonts w:hint="eastAsia"/>
                <w:color w:val="auto"/>
                <w:szCs w:val="21"/>
                <w:highlight w:val="none"/>
              </w:rPr>
              <w:t>2021年</w:t>
            </w:r>
            <w:r>
              <w:rPr>
                <w:rFonts w:hint="eastAsia"/>
                <w:color w:val="auto"/>
                <w:szCs w:val="21"/>
                <w:highlight w:val="none"/>
                <w:lang w:val="en-US" w:eastAsia="zh-CN"/>
              </w:rPr>
              <w:t>上下学期</w:t>
            </w:r>
            <w:r>
              <w:rPr>
                <w:rFonts w:hint="eastAsia"/>
                <w:color w:val="auto"/>
                <w:szCs w:val="21"/>
                <w:highlight w:val="none"/>
                <w:lang w:eastAsia="zh-CN"/>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510</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课堂教学时量256</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教学管理课时122，</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时量132）</w:t>
            </w:r>
          </w:p>
          <w:p w14:paraId="4F65A5CE">
            <w:pPr>
              <w:adjustRightInd w:val="0"/>
              <w:snapToGrid w:val="0"/>
              <w:spacing w:line="276" w:lineRule="auto"/>
              <w:rPr>
                <w:rFonts w:hint="default" w:eastAsia="宋体"/>
                <w:color w:val="FF0000"/>
                <w:szCs w:val="21"/>
                <w:highlight w:val="none"/>
                <w:lang w:val="en-US" w:eastAsia="zh-CN"/>
              </w:rPr>
            </w:pP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22</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上下学期</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370</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课堂教学时量164</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教学管理课时71，</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p>
          <w:p w14:paraId="3F723CFB">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23</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上下学期</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276.9</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课堂教学时量113</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教学管理课时28.9，</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p>
          <w:p w14:paraId="65973DD8">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24</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上下学期</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399.5</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课堂教学时量181.5</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教学管理课时86，</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时量132）</w:t>
            </w:r>
          </w:p>
          <w:p w14:paraId="5756BABD">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2025年上学期，</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245.5</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课堂教学时量93.5</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教学管理课时32，</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时量120）</w:t>
            </w:r>
          </w:p>
          <w:p w14:paraId="1FE53F27">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总计：2009.9，5年实际平均课时为：401.98，5年需完成平均课时为115.56，平均每年超过课时为286.42，计7.2分</w:t>
            </w:r>
          </w:p>
        </w:tc>
        <w:tc>
          <w:tcPr>
            <w:tcW w:w="1200" w:type="dxa"/>
            <w:vAlign w:val="center"/>
          </w:tcPr>
          <w:p w14:paraId="27122FCF">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7.2</w:t>
            </w:r>
          </w:p>
        </w:tc>
        <w:tc>
          <w:tcPr>
            <w:tcW w:w="1274" w:type="dxa"/>
            <w:vAlign w:val="center"/>
          </w:tcPr>
          <w:p w14:paraId="6190A33F">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7.2</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highlight w:val="none"/>
              </w:rPr>
            </w:pPr>
          </w:p>
        </w:tc>
        <w:tc>
          <w:tcPr>
            <w:tcW w:w="1163" w:type="dxa"/>
            <w:vAlign w:val="center"/>
          </w:tcPr>
          <w:p w14:paraId="4BFFF089">
            <w:pPr>
              <w:adjustRightInd w:val="0"/>
              <w:snapToGrid w:val="0"/>
              <w:spacing w:line="276" w:lineRule="auto"/>
              <w:jc w:val="center"/>
              <w:rPr>
                <w:rFonts w:hint="eastAsia"/>
                <w:szCs w:val="21"/>
                <w:highlight w:val="none"/>
              </w:rPr>
            </w:pPr>
            <w:r>
              <w:rPr>
                <w:rFonts w:hint="eastAsia"/>
                <w:szCs w:val="21"/>
                <w:highlight w:val="none"/>
              </w:rPr>
              <w:t>3-2-1</w:t>
            </w:r>
          </w:p>
          <w:p w14:paraId="4888F007">
            <w:pPr>
              <w:adjustRightInd w:val="0"/>
              <w:snapToGrid w:val="0"/>
              <w:spacing w:line="276" w:lineRule="auto"/>
              <w:jc w:val="center"/>
              <w:rPr>
                <w:rFonts w:hint="eastAsia"/>
                <w:szCs w:val="21"/>
                <w:highlight w:val="none"/>
                <w:lang w:eastAsia="zh-CN"/>
              </w:rPr>
            </w:pPr>
            <w:r>
              <w:rPr>
                <w:rFonts w:hint="eastAsia"/>
                <w:szCs w:val="21"/>
                <w:highlight w:val="none"/>
                <w:lang w:eastAsia="zh-CN"/>
              </w:rPr>
              <w:t>（</w:t>
            </w:r>
            <w:r>
              <w:rPr>
                <w:rFonts w:hint="eastAsia"/>
                <w:sz w:val="16"/>
                <w:szCs w:val="16"/>
                <w:highlight w:val="none"/>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鼓励长期一线执教量化计分</w:t>
            </w:r>
          </w:p>
          <w:p w14:paraId="3386F944">
            <w:pPr>
              <w:adjustRightInd w:val="0"/>
              <w:snapToGrid w:val="0"/>
              <w:spacing w:line="276" w:lineRule="auto"/>
              <w:rPr>
                <w:rFonts w:hint="default"/>
                <w:b w:val="0"/>
                <w:bCs w:val="0"/>
                <w:color w:val="auto"/>
                <w:highlight w:val="none"/>
                <w:vertAlign w:val="baseline"/>
                <w:lang w:val="en-US" w:eastAsia="zh-CN"/>
              </w:rPr>
            </w:pPr>
            <w:r>
              <w:rPr>
                <w:rFonts w:hint="eastAsia"/>
                <w:b w:val="0"/>
                <w:bCs w:val="0"/>
                <w:color w:val="auto"/>
                <w:highlight w:val="none"/>
                <w:vertAlign w:val="baseline"/>
                <w:lang w:val="en-US" w:eastAsia="zh-CN"/>
              </w:rPr>
              <w:t>1）2004年7月至2008年7月，实训中心从事计算机应用基础教学，满4年，2008年8月至2016年8月，信息工程系从事《C#程序设计》、《Java程序设计》课程教学，满8年，2016年9月至今，信息工程学院从事《Python程序设计基础》、《C#程序设计》、《Java程序设计》等课程教学，满9年，共计21年，计5分；</w:t>
            </w:r>
          </w:p>
        </w:tc>
        <w:tc>
          <w:tcPr>
            <w:tcW w:w="1200" w:type="dxa"/>
            <w:vAlign w:val="center"/>
          </w:tcPr>
          <w:p w14:paraId="5947195A">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highlight w:val="none"/>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highlight w:val="none"/>
              </w:rPr>
            </w:pPr>
          </w:p>
        </w:tc>
        <w:tc>
          <w:tcPr>
            <w:tcW w:w="1163" w:type="dxa"/>
            <w:vAlign w:val="center"/>
          </w:tcPr>
          <w:p w14:paraId="20DBC6F4">
            <w:pPr>
              <w:adjustRightInd w:val="0"/>
              <w:snapToGrid w:val="0"/>
              <w:spacing w:line="276" w:lineRule="auto"/>
              <w:jc w:val="center"/>
              <w:rPr>
                <w:rFonts w:hint="eastAsia"/>
                <w:szCs w:val="21"/>
                <w:highlight w:val="none"/>
              </w:rPr>
            </w:pPr>
            <w:r>
              <w:rPr>
                <w:rFonts w:hint="eastAsia"/>
                <w:szCs w:val="21"/>
                <w:highlight w:val="none"/>
              </w:rPr>
              <w:t>3-2-2</w:t>
            </w:r>
          </w:p>
          <w:p w14:paraId="622794BB">
            <w:pPr>
              <w:adjustRightInd w:val="0"/>
              <w:snapToGrid w:val="0"/>
              <w:spacing w:line="276" w:lineRule="auto"/>
              <w:jc w:val="center"/>
              <w:rPr>
                <w:rFonts w:hint="eastAsia"/>
                <w:szCs w:val="21"/>
                <w:highlight w:val="none"/>
              </w:rPr>
            </w:pPr>
            <w:r>
              <w:rPr>
                <w:rFonts w:hint="eastAsia"/>
                <w:szCs w:val="21"/>
                <w:highlight w:val="none"/>
                <w:lang w:eastAsia="zh-CN"/>
              </w:rPr>
              <w:t>（</w:t>
            </w:r>
            <w:r>
              <w:rPr>
                <w:rFonts w:hint="eastAsia"/>
                <w:sz w:val="16"/>
                <w:szCs w:val="16"/>
                <w:highlight w:val="none"/>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default"/>
                <w:b/>
                <w:bCs/>
                <w:highlight w:val="none"/>
                <w:vertAlign w:val="baseline"/>
                <w:lang w:val="en-US" w:eastAsia="zh-CN"/>
              </w:rPr>
            </w:pPr>
            <w:r>
              <w:rPr>
                <w:rFonts w:hint="eastAsia"/>
                <w:b w:val="0"/>
                <w:bCs w:val="0"/>
                <w:color w:val="auto"/>
                <w:highlight w:val="none"/>
                <w:vertAlign w:val="baseline"/>
                <w:lang w:val="en-US" w:eastAsia="zh-CN"/>
              </w:rPr>
              <w:t>2020年-2025年由</w:t>
            </w:r>
            <w:r>
              <w:rPr>
                <w:rFonts w:hint="eastAsia" w:eastAsia="宋体"/>
                <w:color w:val="auto"/>
                <w:szCs w:val="21"/>
                <w:highlight w:val="none"/>
                <w:lang w:val="en-US" w:eastAsia="zh-CN"/>
              </w:rPr>
              <w:t>质量监控与评价中心</w:t>
            </w:r>
            <w:r>
              <w:rPr>
                <w:rFonts w:hint="eastAsia"/>
                <w:color w:val="auto"/>
                <w:szCs w:val="21"/>
                <w:highlight w:val="none"/>
                <w:lang w:val="en-US" w:eastAsia="zh-CN"/>
              </w:rPr>
              <w:t>提供的教学测评均为优秀等级</w:t>
            </w:r>
          </w:p>
        </w:tc>
        <w:tc>
          <w:tcPr>
            <w:tcW w:w="1200" w:type="dxa"/>
            <w:vAlign w:val="center"/>
          </w:tcPr>
          <w:p w14:paraId="4271D181">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highlight w:val="none"/>
              </w:rPr>
            </w:pPr>
          </w:p>
        </w:tc>
        <w:tc>
          <w:tcPr>
            <w:tcW w:w="1163" w:type="dxa"/>
            <w:vAlign w:val="center"/>
          </w:tcPr>
          <w:p w14:paraId="7B1C59E2">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教学竞赛获奖</w:t>
            </w:r>
          </w:p>
          <w:p w14:paraId="39EA083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color w:val="000000" w:themeColor="text1"/>
                <w:szCs w:val="21"/>
                <w:highlight w:val="none"/>
                <w14:textFill>
                  <w14:solidFill>
                    <w14:schemeClr w14:val="tx1"/>
                  </w14:solidFill>
                </w14:textFill>
              </w:rPr>
              <w:t>获奖时间</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奖项等级</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完成人名次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594C34A3">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1）2025年1月，获湖南开放大学理工科类专业课程思政教学设计方案大赛二等奖，排名第一，计3分；</w:t>
            </w:r>
          </w:p>
          <w:p w14:paraId="4854350C">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2）2024年11月，获湖南开放大学办学体系实践教学方案设计、说课与案例展示大赛三等奖，排名第二，计2分；</w:t>
            </w:r>
          </w:p>
          <w:p w14:paraId="36D3CC76">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3）2024年5月，获湖南开放大学开放教育质量管理优秀案例比赛二等奖，排名第一，计3分；</w:t>
            </w:r>
          </w:p>
          <w:p w14:paraId="229E5415">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4）2023年11月，获国家开放大学工科数字化学习交互式课件大赛三等奖，排名第二，计15分；</w:t>
            </w:r>
          </w:p>
          <w:p w14:paraId="09472246">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5）2020年5月，获湖南广播电视大学线上教学优秀案例二等奖，排名第一，计3分；</w:t>
            </w:r>
          </w:p>
          <w:p w14:paraId="2A81ECBB">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6）2020年5月，获湖南广播电视大学线上教学优秀案例一等奖，排名第三，计10分；</w:t>
            </w:r>
          </w:p>
          <w:p w14:paraId="6B2B43B3">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7）2020年5月，获湖南广播电视大学线上教学优秀案例一等奖，排名第五，计10分；</w:t>
            </w:r>
          </w:p>
          <w:p w14:paraId="2548CE81">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8）2020年11月，获湖南广播电视大学教师信息素养微课赛一等奖，排名第一，计10分；</w:t>
            </w:r>
          </w:p>
          <w:p w14:paraId="6141E7D8">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9）2020年11月，获湖南省教育厅高职高专院校信息素养大赛二等奖，排名第一，计25分；</w:t>
            </w:r>
          </w:p>
          <w:p w14:paraId="47491142">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10）2019年12月，获湖南广播电视大学“课程思政”说课比赛三等奖，排名第二，计2分；</w:t>
            </w:r>
          </w:p>
          <w:p w14:paraId="495EE9BE">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11）2019年7月，获湖南省职业院校教师职业能力比赛三等奖，排名第二，计15分；</w:t>
            </w:r>
            <w:r>
              <w:rPr>
                <w:rFonts w:hint="eastAsia"/>
                <w:color w:val="000000" w:themeColor="text1"/>
                <w:szCs w:val="21"/>
                <w:highlight w:val="none"/>
                <w:lang w:val="en-US" w:eastAsia="zh-CN"/>
                <w14:textFill>
                  <w14:solidFill>
                    <w14:schemeClr w14:val="tx1"/>
                  </w14:solidFill>
                </w14:textFill>
              </w:rPr>
              <w:tab/>
            </w:r>
          </w:p>
          <w:p w14:paraId="78CAEC1E">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12）2017年7月，获湖南省职业院校信息化教学大赛三等奖，排名第二，计15分；</w:t>
            </w:r>
            <w:r>
              <w:rPr>
                <w:rFonts w:hint="eastAsia"/>
                <w:color w:val="000000" w:themeColor="text1"/>
                <w:szCs w:val="21"/>
                <w:highlight w:val="none"/>
                <w:lang w:val="en-US" w:eastAsia="zh-CN"/>
                <w14:textFill>
                  <w14:solidFill>
                    <w14:schemeClr w14:val="tx1"/>
                  </w14:solidFill>
                </w14:textFill>
              </w:rPr>
              <w:tab/>
            </w:r>
          </w:p>
          <w:p w14:paraId="3CB2EC36">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13）2017年2月，获湖南省第二届微课大赛职业教育组团体赛一等奖，排名第二，计50分；</w:t>
            </w:r>
            <w:r>
              <w:rPr>
                <w:rFonts w:hint="eastAsia"/>
                <w:color w:val="000000" w:themeColor="text1"/>
                <w:szCs w:val="21"/>
                <w:highlight w:val="none"/>
                <w:lang w:val="en-US" w:eastAsia="zh-CN"/>
                <w14:textFill>
                  <w14:solidFill>
                    <w14:schemeClr w14:val="tx1"/>
                  </w14:solidFill>
                </w14:textFill>
              </w:rPr>
              <w:tab/>
            </w:r>
          </w:p>
          <w:p w14:paraId="56D8C8A1">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14）2017年9月，获中央电化教育馆“一生一空间、生生有特色”职业院校网络学习空间评比三等奖，排名第一，计15分；</w:t>
            </w:r>
            <w:r>
              <w:rPr>
                <w:rFonts w:hint="eastAsia"/>
                <w:color w:val="000000" w:themeColor="text1"/>
                <w:szCs w:val="21"/>
                <w:highlight w:val="none"/>
                <w:lang w:val="en-US" w:eastAsia="zh-CN"/>
                <w14:textFill>
                  <w14:solidFill>
                    <w14:schemeClr w14:val="tx1"/>
                  </w14:solidFill>
                </w14:textFill>
              </w:rPr>
              <w:tab/>
            </w:r>
          </w:p>
          <w:p w14:paraId="70EF6A2A">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15）2016年9月，获湖南省职业院校信息化教学大赛一等奖，排名第二，计50分；</w:t>
            </w:r>
            <w:r>
              <w:rPr>
                <w:rFonts w:hint="eastAsia"/>
                <w:color w:val="000000" w:themeColor="text1"/>
                <w:szCs w:val="21"/>
                <w:highlight w:val="none"/>
                <w:lang w:val="en-US" w:eastAsia="zh-CN"/>
                <w14:textFill>
                  <w14:solidFill>
                    <w14:schemeClr w14:val="tx1"/>
                  </w14:solidFill>
                </w14:textFill>
              </w:rPr>
              <w:tab/>
            </w:r>
          </w:p>
          <w:p w14:paraId="2BD934B4">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16）2015年7月，获国家开放大学“六网融通”新技术秀应用三等奖，排名第一，计15分；</w:t>
            </w:r>
          </w:p>
        </w:tc>
        <w:tc>
          <w:tcPr>
            <w:tcW w:w="1200" w:type="dxa"/>
            <w:vAlign w:val="center"/>
          </w:tcPr>
          <w:p w14:paraId="5ED2C39F">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243</w:t>
            </w:r>
          </w:p>
        </w:tc>
        <w:tc>
          <w:tcPr>
            <w:tcW w:w="1274" w:type="dxa"/>
            <w:vAlign w:val="center"/>
          </w:tcPr>
          <w:p w14:paraId="119EA966">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215.5</w:t>
            </w:r>
          </w:p>
        </w:tc>
        <w:tc>
          <w:tcPr>
            <w:tcW w:w="2331" w:type="dxa"/>
            <w:vAlign w:val="center"/>
          </w:tcPr>
          <w:p w14:paraId="209696FF">
            <w:pPr>
              <w:adjustRightInd w:val="0"/>
              <w:snapToGrid w:val="0"/>
              <w:spacing w:line="276" w:lineRule="auto"/>
              <w:jc w:val="center"/>
              <w:rPr>
                <w:rFonts w:hint="default"/>
                <w:color w:val="A6A6A6" w:themeColor="background1" w:themeShade="A6"/>
                <w:szCs w:val="21"/>
                <w:highlight w:val="none"/>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highlight w:val="none"/>
              </w:rPr>
            </w:pPr>
          </w:p>
        </w:tc>
        <w:tc>
          <w:tcPr>
            <w:tcW w:w="1163" w:type="dxa"/>
            <w:vAlign w:val="center"/>
          </w:tcPr>
          <w:p w14:paraId="740BBFA7">
            <w:pPr>
              <w:adjustRightInd w:val="0"/>
              <w:snapToGrid w:val="0"/>
              <w:spacing w:line="276" w:lineRule="auto"/>
              <w:jc w:val="center"/>
              <w:rPr>
                <w:rFonts w:hint="default"/>
                <w:szCs w:val="21"/>
                <w:highlight w:val="none"/>
                <w:lang w:val="en-US"/>
              </w:rPr>
            </w:pPr>
            <w:r>
              <w:rPr>
                <w:rFonts w:hint="eastAsia"/>
                <w:szCs w:val="21"/>
                <w:highlight w:val="none"/>
              </w:rPr>
              <w:t>3-</w:t>
            </w:r>
            <w:r>
              <w:rPr>
                <w:rFonts w:hint="eastAsia"/>
                <w:szCs w:val="21"/>
                <w:highlight w:val="none"/>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教学创新团队建设计分</w:t>
            </w:r>
          </w:p>
          <w:p w14:paraId="32BECF88">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立项文件（级别）+</w:t>
            </w:r>
            <w:r>
              <w:rPr>
                <w:rFonts w:hint="eastAsia"/>
                <w:color w:val="000000" w:themeColor="text1"/>
                <w:szCs w:val="21"/>
                <w:highlight w:val="none"/>
                <w:lang w:val="en-US" w:eastAsia="zh-CN"/>
                <w14:textFill>
                  <w14:solidFill>
                    <w14:schemeClr w14:val="tx1"/>
                  </w14:solidFill>
                </w14:textFill>
              </w:rPr>
              <w:t>团队立项</w:t>
            </w:r>
            <w:r>
              <w:rPr>
                <w:rFonts w:hint="eastAsia"/>
                <w:color w:val="000000" w:themeColor="text1"/>
                <w:szCs w:val="21"/>
                <w:highlight w:val="none"/>
                <w14:textFill>
                  <w14:solidFill>
                    <w14:schemeClr w14:val="tx1"/>
                  </w14:solidFill>
                </w14:textFill>
              </w:rPr>
              <w:t>名称</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主持或参与名次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77998237">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1）</w:t>
            </w:r>
            <w:r>
              <w:rPr>
                <w:rFonts w:hint="eastAsia" w:ascii="Times New Roman" w:hAnsi="Times New Roman" w:eastAsia="宋体" w:cs="Times New Roman"/>
                <w:b w:val="0"/>
                <w:bCs w:val="0"/>
                <w:color w:val="auto"/>
                <w:highlight w:val="none"/>
                <w:vertAlign w:val="baseline"/>
                <w:lang w:eastAsia="zh-CN"/>
              </w:rPr>
              <w:t>关于公布2020年湖南省职业院校专业教学团队</w:t>
            </w:r>
            <w:r>
              <w:rPr>
                <w:rFonts w:hint="eastAsia" w:cs="Times New Roman"/>
                <w:b w:val="0"/>
                <w:bCs w:val="0"/>
                <w:color w:val="auto"/>
                <w:highlight w:val="none"/>
                <w:vertAlign w:val="baseline"/>
                <w:lang w:val="en-US" w:eastAsia="zh-CN"/>
              </w:rPr>
              <w:t>验收</w:t>
            </w:r>
            <w:r>
              <w:rPr>
                <w:rFonts w:hint="eastAsia" w:ascii="Times New Roman" w:hAnsi="Times New Roman" w:eastAsia="宋体" w:cs="Times New Roman"/>
                <w:b w:val="0"/>
                <w:bCs w:val="0"/>
                <w:color w:val="auto"/>
                <w:highlight w:val="none"/>
                <w:vertAlign w:val="baseline"/>
                <w:lang w:eastAsia="zh-CN"/>
              </w:rPr>
              <w:t>结果的通知（</w:t>
            </w:r>
            <w:r>
              <w:rPr>
                <w:rFonts w:hint="eastAsia" w:ascii="Times New Roman" w:hAnsi="Times New Roman" w:eastAsia="宋体" w:cs="Times New Roman"/>
                <w:b w:val="0"/>
                <w:bCs w:val="0"/>
                <w:color w:val="auto"/>
                <w:highlight w:val="none"/>
                <w:vertAlign w:val="baseline"/>
                <w:lang w:val="en-US" w:eastAsia="zh-CN"/>
              </w:rPr>
              <w:t>省级</w:t>
            </w:r>
            <w:r>
              <w:rPr>
                <w:rFonts w:hint="eastAsia" w:ascii="Times New Roman" w:hAnsi="Times New Roman" w:eastAsia="宋体" w:cs="Times New Roman"/>
                <w:b w:val="0"/>
                <w:bCs w:val="0"/>
                <w:color w:val="auto"/>
                <w:highlight w:val="none"/>
                <w:vertAlign w:val="baseline"/>
                <w:lang w:eastAsia="zh-CN"/>
              </w:rPr>
              <w:t>），</w:t>
            </w:r>
            <w:r>
              <w:rPr>
                <w:rFonts w:hint="eastAsia" w:ascii="Times New Roman" w:hAnsi="Times New Roman" w:eastAsia="宋体" w:cs="Times New Roman"/>
                <w:b w:val="0"/>
                <w:bCs w:val="0"/>
                <w:color w:val="auto"/>
                <w:highlight w:val="none"/>
                <w:vertAlign w:val="baseline"/>
                <w:lang w:val="en-US" w:eastAsia="zh-CN"/>
              </w:rPr>
              <w:t>数字媒体技术专业教学团队，</w:t>
            </w:r>
            <w:r>
              <w:rPr>
                <w:rFonts w:hint="eastAsia"/>
                <w:color w:val="000000" w:themeColor="text1"/>
                <w:szCs w:val="21"/>
                <w:highlight w:val="none"/>
                <w:lang w:val="en-US" w:eastAsia="zh-CN"/>
                <w14:textFill>
                  <w14:solidFill>
                    <w14:schemeClr w14:val="tx1"/>
                  </w14:solidFill>
                </w14:textFill>
              </w:rPr>
              <w:t>排名第四，计10分；（已验收）</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highlight w:val="none"/>
                <w:lang w:val="en-US" w:eastAsia="zh-CN"/>
              </w:rPr>
            </w:pPr>
            <w:r>
              <w:rPr>
                <w:rFonts w:hint="eastAsia"/>
                <w:szCs w:val="21"/>
                <w:highlight w:val="none"/>
                <w:lang w:val="en-US" w:eastAsia="zh-CN"/>
              </w:rPr>
              <w:t>10</w:t>
            </w:r>
          </w:p>
        </w:tc>
        <w:tc>
          <w:tcPr>
            <w:tcW w:w="1274" w:type="dxa"/>
            <w:vAlign w:val="center"/>
          </w:tcPr>
          <w:p w14:paraId="4336040E">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10</w:t>
            </w:r>
          </w:p>
        </w:tc>
        <w:tc>
          <w:tcPr>
            <w:tcW w:w="2331" w:type="dxa"/>
            <w:vAlign w:val="center"/>
          </w:tcPr>
          <w:p w14:paraId="5100BA5C">
            <w:pPr>
              <w:adjustRightInd w:val="0"/>
              <w:snapToGrid w:val="0"/>
              <w:spacing w:line="276" w:lineRule="auto"/>
              <w:jc w:val="center"/>
              <w:rPr>
                <w:color w:val="A6A6A6" w:themeColor="background1" w:themeShade="A6"/>
                <w:szCs w:val="21"/>
                <w:highlight w:val="none"/>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highlight w:val="none"/>
              </w:rPr>
            </w:pPr>
          </w:p>
        </w:tc>
        <w:tc>
          <w:tcPr>
            <w:tcW w:w="1163" w:type="dxa"/>
            <w:vAlign w:val="center"/>
          </w:tcPr>
          <w:p w14:paraId="4000A22C">
            <w:pPr>
              <w:adjustRightInd w:val="0"/>
              <w:snapToGrid w:val="0"/>
              <w:spacing w:line="276" w:lineRule="auto"/>
              <w:jc w:val="center"/>
              <w:rPr>
                <w:szCs w:val="21"/>
                <w:highlight w:val="none"/>
              </w:rPr>
            </w:pPr>
            <w:r>
              <w:rPr>
                <w:rFonts w:hint="eastAsia"/>
                <w:szCs w:val="21"/>
                <w:highlight w:val="none"/>
              </w:rPr>
              <w:t>3-</w:t>
            </w:r>
            <w:r>
              <w:rPr>
                <w:rFonts w:hint="eastAsia"/>
                <w:szCs w:val="21"/>
                <w:highlight w:val="none"/>
                <w:lang w:val="en-US" w:eastAsia="zh-CN"/>
              </w:rPr>
              <w:t>4</w:t>
            </w:r>
            <w:r>
              <w:rPr>
                <w:rFonts w:hint="eastAsia"/>
                <w:szCs w:val="21"/>
                <w:highlight w:val="none"/>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实训基地建设</w:t>
            </w:r>
          </w:p>
          <w:p w14:paraId="5C54E11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立项文件（级别）+基地立项名称</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主持或参与名次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0580DEBE">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1）教育部国际合作与交流司关于公布中德先进职业教育合作项目第二期项目院校名单的通知（国家级），大数据技术，排名第二，计40分</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highlight w:val="none"/>
                <w:lang w:val="en-US" w:eastAsia="zh-CN"/>
              </w:rPr>
            </w:pPr>
            <w:r>
              <w:rPr>
                <w:rFonts w:hint="eastAsia"/>
                <w:szCs w:val="21"/>
                <w:highlight w:val="none"/>
                <w:lang w:val="en-US" w:eastAsia="zh-CN"/>
              </w:rPr>
              <w:t>40</w:t>
            </w:r>
          </w:p>
        </w:tc>
        <w:tc>
          <w:tcPr>
            <w:tcW w:w="1274" w:type="dxa"/>
            <w:vAlign w:val="center"/>
          </w:tcPr>
          <w:p w14:paraId="4604FE0A">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18</w:t>
            </w:r>
          </w:p>
        </w:tc>
        <w:tc>
          <w:tcPr>
            <w:tcW w:w="2331" w:type="dxa"/>
            <w:vAlign w:val="center"/>
          </w:tcPr>
          <w:p w14:paraId="1392742C">
            <w:pPr>
              <w:adjustRightInd w:val="0"/>
              <w:snapToGrid w:val="0"/>
              <w:spacing w:line="276" w:lineRule="auto"/>
              <w:jc w:val="center"/>
              <w:rPr>
                <w:color w:val="A6A6A6" w:themeColor="background1" w:themeShade="A6"/>
                <w:szCs w:val="21"/>
                <w:highlight w:val="none"/>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highlight w:val="none"/>
              </w:rPr>
            </w:pPr>
          </w:p>
        </w:tc>
        <w:tc>
          <w:tcPr>
            <w:tcW w:w="1163" w:type="dxa"/>
            <w:vAlign w:val="center"/>
          </w:tcPr>
          <w:p w14:paraId="5654808A">
            <w:pPr>
              <w:adjustRightInd w:val="0"/>
              <w:snapToGrid w:val="0"/>
              <w:spacing w:line="276" w:lineRule="auto"/>
              <w:jc w:val="center"/>
              <w:rPr>
                <w:rFonts w:hint="default" w:eastAsia="宋体"/>
                <w:szCs w:val="21"/>
                <w:highlight w:val="none"/>
                <w:lang w:val="en-US" w:eastAsia="zh-CN"/>
              </w:rPr>
            </w:pPr>
            <w:r>
              <w:rPr>
                <w:rFonts w:hint="eastAsia"/>
                <w:szCs w:val="21"/>
                <w:highlight w:val="none"/>
              </w:rPr>
              <w:t>3-4</w:t>
            </w:r>
            <w:r>
              <w:rPr>
                <w:rFonts w:hint="eastAsia"/>
                <w:szCs w:val="21"/>
                <w:highlight w:val="none"/>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精品课程</w:t>
            </w:r>
          </w:p>
          <w:p w14:paraId="4FC1C855">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立项文件（级别）+</w:t>
            </w:r>
            <w:r>
              <w:rPr>
                <w:rFonts w:hint="eastAsia"/>
                <w:color w:val="000000" w:themeColor="text1"/>
                <w:szCs w:val="21"/>
                <w:highlight w:val="none"/>
                <w:lang w:val="en-US" w:eastAsia="zh-CN"/>
                <w14:textFill>
                  <w14:solidFill>
                    <w14:schemeClr w14:val="tx1"/>
                  </w14:solidFill>
                </w14:textFill>
              </w:rPr>
              <w:t>课程</w:t>
            </w:r>
            <w:r>
              <w:rPr>
                <w:rFonts w:hint="eastAsia"/>
                <w:color w:val="000000" w:themeColor="text1"/>
                <w:szCs w:val="21"/>
                <w:highlight w:val="none"/>
                <w14:textFill>
                  <w14:solidFill>
                    <w14:schemeClr w14:val="tx1"/>
                  </w14:solidFill>
                </w14:textFill>
              </w:rPr>
              <w:t>名称</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主持或参与名次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3C7A6C1C">
            <w:pPr>
              <w:numPr>
                <w:ilvl w:val="0"/>
                <w:numId w:val="1"/>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教育部办公厅关于公布2022年职业教育国家在线精品课程名单的公告（国家级），《Python程序设计基础》，主持，计100分；（已完成验收且正在运行）</w:t>
            </w:r>
          </w:p>
          <w:p w14:paraId="7BC3AD04">
            <w:pPr>
              <w:numPr>
                <w:ilvl w:val="0"/>
                <w:numId w:val="1"/>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关于公布2021年湖南省职业教育省级精品课程与专业教学资源库项目评审结果的通知（省级），《Python程序设计基础》认定项目，主持，计50分；（已完成验收且正在运行）</w:t>
            </w:r>
          </w:p>
          <w:p w14:paraId="1B22E285">
            <w:pPr>
              <w:numPr>
                <w:ilvl w:val="0"/>
                <w:numId w:val="1"/>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2021年国家开放大学于“智慧助老”系列课程资源建设及认证（省级），《新时代数字生活手册-金融服务篇》，主持，计50分；（已完成且正在使用中）</w:t>
            </w:r>
          </w:p>
          <w:p w14:paraId="0CAD76D8">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2020年关于公布2020年湖南省职业院校线上教学优秀案例及教学资源建设与教学改革研究项目评审结果的通知（湘教通2020 289号）（省级），《C#程序设计基础》认定项目，主持，计50分；（已完成验收且正在运行）</w:t>
            </w:r>
          </w:p>
          <w:p w14:paraId="62059F98">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b w:val="0"/>
                <w:bCs w:val="0"/>
                <w:color w:val="auto"/>
                <w:highlight w:val="none"/>
                <w:vertAlign w:val="baseline"/>
                <w:lang w:val="en-US" w:eastAsia="zh-CN"/>
              </w:rPr>
              <w:t>关于公布2020年湖南省职业院校线上教学优秀案例及教学资源建设与教学改革研究项目评审结果的通知（湘教通  2020  289号）</w:t>
            </w:r>
            <w:r>
              <w:rPr>
                <w:rFonts w:hint="eastAsia"/>
                <w:color w:val="000000" w:themeColor="text1"/>
                <w:szCs w:val="21"/>
                <w:highlight w:val="none"/>
                <w:lang w:val="en-US" w:eastAsia="zh-CN"/>
                <w14:textFill>
                  <w14:solidFill>
                    <w14:schemeClr w14:val="tx1"/>
                  </w14:solidFill>
                </w14:textFill>
              </w:rPr>
              <w:t>，</w:t>
            </w:r>
            <w:r>
              <w:rPr>
                <w:rFonts w:hint="eastAsia" w:ascii="Times New Roman" w:hAnsi="Times New Roman" w:eastAsia="宋体" w:cs="Times New Roman"/>
                <w:b w:val="0"/>
                <w:bCs w:val="0"/>
                <w:color w:val="auto"/>
                <w:highlight w:val="none"/>
                <w:vertAlign w:val="baseline"/>
                <w:lang w:val="en-US" w:eastAsia="zh-CN"/>
              </w:rPr>
              <w:t>大数据技术专业教学资源库建设项目</w:t>
            </w:r>
            <w:r>
              <w:rPr>
                <w:rFonts w:hint="eastAsia"/>
                <w:color w:val="000000" w:themeColor="text1"/>
                <w:szCs w:val="21"/>
                <w:highlight w:val="none"/>
                <w:lang w:val="en-US" w:eastAsia="zh-CN"/>
                <w14:textFill>
                  <w14:solidFill>
                    <w14:schemeClr w14:val="tx1"/>
                  </w14:solidFill>
                </w14:textFill>
              </w:rPr>
              <w:t>，主持，计30分；（已立项未验收）</w:t>
            </w:r>
          </w:p>
          <w:p w14:paraId="027E9075">
            <w:pPr>
              <w:numPr>
                <w:ilvl w:val="0"/>
                <w:numId w:val="1"/>
              </w:numPr>
              <w:adjustRightInd w:val="0"/>
              <w:snapToGrid w:val="0"/>
              <w:spacing w:line="276" w:lineRule="auto"/>
              <w:rPr>
                <w:rFonts w:hint="eastAsia" w:ascii="Times New Roman" w:hAnsi="Times New Roman" w:eastAsia="宋体" w:cs="Times New Roman"/>
                <w:b w:val="0"/>
                <w:bCs w:val="0"/>
                <w:color w:val="auto"/>
                <w:highlight w:val="none"/>
                <w:vertAlign w:val="baseline"/>
                <w:lang w:val="en-US" w:eastAsia="zh-CN"/>
              </w:rPr>
            </w:pPr>
            <w:r>
              <w:rPr>
                <w:rFonts w:hint="eastAsia" w:ascii="Times New Roman" w:hAnsi="Times New Roman" w:eastAsia="宋体" w:cs="Times New Roman"/>
                <w:b w:val="0"/>
                <w:bCs w:val="0"/>
                <w:color w:val="auto"/>
                <w:highlight w:val="none"/>
                <w:vertAlign w:val="baseline"/>
                <w:lang w:val="en-US" w:eastAsia="zh-CN"/>
              </w:rPr>
              <w:t>关于公布</w:t>
            </w:r>
            <w:r>
              <w:rPr>
                <w:rFonts w:hint="default" w:ascii="Times New Roman" w:hAnsi="Times New Roman" w:eastAsia="宋体" w:cs="Times New Roman"/>
                <w:b w:val="0"/>
                <w:bCs w:val="0"/>
                <w:color w:val="auto"/>
                <w:highlight w:val="none"/>
                <w:vertAlign w:val="baseline"/>
                <w:lang w:val="en-US" w:eastAsia="zh-CN"/>
              </w:rPr>
              <w:t xml:space="preserve"> </w:t>
            </w:r>
            <w:r>
              <w:rPr>
                <w:rFonts w:hint="eastAsia" w:ascii="Times New Roman" w:hAnsi="Times New Roman" w:eastAsia="宋体" w:cs="Times New Roman"/>
                <w:b w:val="0"/>
                <w:bCs w:val="0"/>
                <w:color w:val="auto"/>
                <w:highlight w:val="none"/>
                <w:vertAlign w:val="baseline"/>
                <w:lang w:val="en-US" w:eastAsia="zh-CN"/>
              </w:rPr>
              <w:t>2023</w:t>
            </w:r>
            <w:r>
              <w:rPr>
                <w:rFonts w:hint="default" w:ascii="Times New Roman" w:hAnsi="Times New Roman" w:eastAsia="宋体" w:cs="Times New Roman"/>
                <w:b w:val="0"/>
                <w:bCs w:val="0"/>
                <w:color w:val="auto"/>
                <w:highlight w:val="none"/>
                <w:vertAlign w:val="baseline"/>
                <w:lang w:val="en-US" w:eastAsia="zh-CN"/>
              </w:rPr>
              <w:t xml:space="preserve"> 年湖南省职业教育精品在线开放课程与专业（群）教学资源库项目立项（认定）结果的通知</w:t>
            </w:r>
            <w:r>
              <w:rPr>
                <w:rFonts w:hint="eastAsia" w:ascii="Times New Roman" w:hAnsi="Times New Roman" w:eastAsia="宋体" w:cs="Times New Roman"/>
                <w:b w:val="0"/>
                <w:bCs w:val="0"/>
                <w:color w:val="auto"/>
                <w:highlight w:val="none"/>
                <w:vertAlign w:val="baseline"/>
                <w:lang w:val="en-US" w:eastAsia="zh-CN"/>
              </w:rPr>
              <w:t>（湘教通〔2023〕341号）（省级），</w:t>
            </w:r>
            <w:r>
              <w:rPr>
                <w:rFonts w:hint="eastAsia" w:ascii="Times New Roman" w:hAnsi="Times New Roman" w:cs="Times New Roman"/>
                <w:b w:val="0"/>
                <w:bCs w:val="0"/>
                <w:color w:val="auto"/>
                <w:highlight w:val="none"/>
                <w:vertAlign w:val="baseline"/>
                <w:lang w:val="en-US" w:eastAsia="zh-CN"/>
              </w:rPr>
              <w:t>《</w:t>
            </w:r>
            <w:r>
              <w:rPr>
                <w:rFonts w:hint="eastAsia" w:ascii="Times New Roman" w:hAnsi="Times New Roman" w:eastAsia="宋体" w:cs="Times New Roman"/>
                <w:b w:val="0"/>
                <w:bCs w:val="0"/>
                <w:color w:val="auto"/>
                <w:highlight w:val="none"/>
                <w:vertAlign w:val="baseline"/>
                <w:lang w:val="en-US" w:eastAsia="zh-CN"/>
              </w:rPr>
              <w:t>数据库管理与应用</w:t>
            </w:r>
            <w:r>
              <w:rPr>
                <w:rFonts w:hint="eastAsia" w:ascii="Times New Roman" w:hAnsi="Times New Roman" w:cs="Times New Roman"/>
                <w:b w:val="0"/>
                <w:bCs w:val="0"/>
                <w:color w:val="auto"/>
                <w:highlight w:val="none"/>
                <w:vertAlign w:val="baseline"/>
                <w:lang w:val="en-US" w:eastAsia="zh-CN"/>
              </w:rPr>
              <w:t>》认定项目</w:t>
            </w:r>
            <w:r>
              <w:rPr>
                <w:rFonts w:hint="eastAsia" w:ascii="Times New Roman" w:hAnsi="Times New Roman" w:eastAsia="宋体" w:cs="Times New Roman"/>
                <w:b w:val="0"/>
                <w:bCs w:val="0"/>
                <w:color w:val="auto"/>
                <w:highlight w:val="none"/>
                <w:vertAlign w:val="baseline"/>
                <w:lang w:val="en-US" w:eastAsia="zh-CN"/>
              </w:rPr>
              <w:t>，</w:t>
            </w:r>
            <w:r>
              <w:rPr>
                <w:rFonts w:hint="eastAsia" w:ascii="Times New Roman" w:hAnsi="Times New Roman" w:cs="Times New Roman"/>
                <w:b w:val="0"/>
                <w:bCs w:val="0"/>
                <w:color w:val="auto"/>
                <w:highlight w:val="none"/>
                <w:vertAlign w:val="baseline"/>
                <w:lang w:val="en-US" w:eastAsia="zh-CN"/>
              </w:rPr>
              <w:t>排名第二</w:t>
            </w:r>
            <w:r>
              <w:rPr>
                <w:rFonts w:hint="eastAsia" w:ascii="Times New Roman" w:hAnsi="Times New Roman" w:eastAsia="宋体" w:cs="Times New Roman"/>
                <w:b w:val="0"/>
                <w:bCs w:val="0"/>
                <w:color w:val="auto"/>
                <w:highlight w:val="none"/>
                <w:vertAlign w:val="baseline"/>
                <w:lang w:val="en-US" w:eastAsia="zh-CN"/>
              </w:rPr>
              <w:t>，计</w:t>
            </w:r>
            <w:r>
              <w:rPr>
                <w:rFonts w:hint="eastAsia" w:ascii="Times New Roman" w:hAnsi="Times New Roman" w:cs="Times New Roman"/>
                <w:b w:val="0"/>
                <w:bCs w:val="0"/>
                <w:color w:val="auto"/>
                <w:highlight w:val="none"/>
                <w:vertAlign w:val="baseline"/>
                <w:lang w:val="en-US" w:eastAsia="zh-CN"/>
              </w:rPr>
              <w:t>10</w:t>
            </w:r>
            <w:r>
              <w:rPr>
                <w:rFonts w:hint="eastAsia" w:ascii="Times New Roman" w:hAnsi="Times New Roman" w:eastAsia="宋体" w:cs="Times New Roman"/>
                <w:b w:val="0"/>
                <w:bCs w:val="0"/>
                <w:color w:val="auto"/>
                <w:highlight w:val="none"/>
                <w:vertAlign w:val="baseline"/>
                <w:lang w:val="en-US" w:eastAsia="zh-CN"/>
              </w:rPr>
              <w:t>分。</w:t>
            </w:r>
            <w:r>
              <w:rPr>
                <w:rFonts w:hint="eastAsia"/>
                <w:color w:val="000000" w:themeColor="text1"/>
                <w:szCs w:val="21"/>
                <w:highlight w:val="none"/>
                <w:lang w:val="en-US" w:eastAsia="zh-CN"/>
                <w14:textFill>
                  <w14:solidFill>
                    <w14:schemeClr w14:val="tx1"/>
                  </w14:solidFill>
                </w14:textFill>
              </w:rPr>
              <w:t>（已完成验收且正在运行）</w:t>
            </w:r>
          </w:p>
          <w:p w14:paraId="79310A47">
            <w:pPr>
              <w:numPr>
                <w:ilvl w:val="0"/>
                <w:numId w:val="1"/>
              </w:numPr>
              <w:adjustRightInd w:val="0"/>
              <w:snapToGrid w:val="0"/>
              <w:spacing w:line="276" w:lineRule="auto"/>
              <w:rPr>
                <w:rFonts w:hint="eastAsia" w:ascii="Times New Roman" w:hAnsi="Times New Roman" w:eastAsia="宋体" w:cs="Times New Roman"/>
                <w:b w:val="0"/>
                <w:bCs w:val="0"/>
                <w:color w:val="auto"/>
                <w:highlight w:val="none"/>
                <w:vertAlign w:val="baseline"/>
                <w:lang w:val="en-US" w:eastAsia="zh-CN"/>
              </w:rPr>
            </w:pPr>
            <w:r>
              <w:rPr>
                <w:rFonts w:hint="eastAsia" w:ascii="Times New Roman" w:hAnsi="Times New Roman" w:eastAsia="宋体" w:cs="Times New Roman"/>
                <w:b w:val="0"/>
                <w:bCs w:val="0"/>
                <w:color w:val="auto"/>
                <w:highlight w:val="none"/>
                <w:vertAlign w:val="baseline"/>
                <w:lang w:val="en-US" w:eastAsia="zh-CN"/>
              </w:rPr>
              <w:t>关于公布2020年湖南省职业院校线上教学优秀案例及教学资源建设与教学改革研究项目评审结果的通知（湘教通〔2020〕289号）（省级），</w:t>
            </w:r>
            <w:r>
              <w:rPr>
                <w:rFonts w:hint="eastAsia" w:ascii="Times New Roman" w:hAnsi="Times New Roman" w:cs="Times New Roman"/>
                <w:b w:val="0"/>
                <w:bCs w:val="0"/>
                <w:color w:val="auto"/>
                <w:highlight w:val="none"/>
                <w:vertAlign w:val="baseline"/>
                <w:lang w:val="en-US" w:eastAsia="zh-CN"/>
              </w:rPr>
              <w:t>《</w:t>
            </w:r>
            <w:r>
              <w:rPr>
                <w:rFonts w:hint="eastAsia" w:ascii="Times New Roman" w:hAnsi="Times New Roman" w:eastAsia="宋体" w:cs="Times New Roman"/>
                <w:b w:val="0"/>
                <w:bCs w:val="0"/>
                <w:color w:val="auto"/>
                <w:highlight w:val="none"/>
                <w:vertAlign w:val="baseline"/>
                <w:lang w:val="en-US" w:eastAsia="zh-CN"/>
              </w:rPr>
              <w:t>MongoDB数据库开发</w:t>
            </w:r>
            <w:r>
              <w:rPr>
                <w:rFonts w:hint="eastAsia" w:ascii="Times New Roman" w:hAnsi="Times New Roman" w:cs="Times New Roman"/>
                <w:b w:val="0"/>
                <w:bCs w:val="0"/>
                <w:color w:val="auto"/>
                <w:highlight w:val="none"/>
                <w:vertAlign w:val="baseline"/>
                <w:lang w:val="en-US" w:eastAsia="zh-CN"/>
              </w:rPr>
              <w:t>》</w:t>
            </w:r>
            <w:r>
              <w:rPr>
                <w:rFonts w:hint="eastAsia" w:ascii="Times New Roman" w:hAnsi="Times New Roman" w:eastAsia="宋体" w:cs="Times New Roman"/>
                <w:b w:val="0"/>
                <w:bCs w:val="0"/>
                <w:color w:val="auto"/>
                <w:highlight w:val="none"/>
                <w:vertAlign w:val="baseline"/>
                <w:lang w:val="en-US" w:eastAsia="zh-CN"/>
              </w:rPr>
              <w:t>，排名第</w:t>
            </w:r>
            <w:r>
              <w:rPr>
                <w:rFonts w:hint="eastAsia" w:ascii="Times New Roman" w:hAnsi="Times New Roman" w:cs="Times New Roman"/>
                <w:b w:val="0"/>
                <w:bCs w:val="0"/>
                <w:color w:val="auto"/>
                <w:highlight w:val="none"/>
                <w:vertAlign w:val="baseline"/>
                <w:lang w:val="en-US" w:eastAsia="zh-CN"/>
              </w:rPr>
              <w:t>二</w:t>
            </w:r>
            <w:r>
              <w:rPr>
                <w:rFonts w:hint="eastAsia" w:ascii="Times New Roman" w:hAnsi="Times New Roman" w:eastAsia="宋体" w:cs="Times New Roman"/>
                <w:b w:val="0"/>
                <w:bCs w:val="0"/>
                <w:color w:val="auto"/>
                <w:highlight w:val="none"/>
                <w:vertAlign w:val="baseline"/>
                <w:lang w:val="en-US" w:eastAsia="zh-CN"/>
              </w:rPr>
              <w:t>，计</w:t>
            </w:r>
            <w:r>
              <w:rPr>
                <w:rFonts w:hint="eastAsia" w:ascii="Times New Roman" w:hAnsi="Times New Roman" w:cs="Times New Roman"/>
                <w:b w:val="0"/>
                <w:bCs w:val="0"/>
                <w:color w:val="auto"/>
                <w:highlight w:val="none"/>
                <w:vertAlign w:val="baseline"/>
                <w:lang w:val="en-US" w:eastAsia="zh-CN"/>
              </w:rPr>
              <w:t>10</w:t>
            </w:r>
            <w:r>
              <w:rPr>
                <w:rFonts w:hint="eastAsia" w:ascii="Times New Roman" w:hAnsi="Times New Roman" w:eastAsia="宋体" w:cs="Times New Roman"/>
                <w:b w:val="0"/>
                <w:bCs w:val="0"/>
                <w:color w:val="auto"/>
                <w:highlight w:val="none"/>
                <w:vertAlign w:val="baseline"/>
                <w:lang w:val="en-US" w:eastAsia="zh-CN"/>
              </w:rPr>
              <w:t>分。</w:t>
            </w:r>
            <w:r>
              <w:rPr>
                <w:rFonts w:hint="eastAsia"/>
                <w:color w:val="000000" w:themeColor="text1"/>
                <w:szCs w:val="21"/>
                <w:highlight w:val="none"/>
                <w:lang w:val="en-US" w:eastAsia="zh-CN"/>
                <w14:textFill>
                  <w14:solidFill>
                    <w14:schemeClr w14:val="tx1"/>
                  </w14:solidFill>
                </w14:textFill>
              </w:rPr>
              <w:t>（已完成验收且正在运行）</w:t>
            </w:r>
          </w:p>
          <w:p w14:paraId="4BDCE06A">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b w:val="0"/>
                <w:bCs w:val="0"/>
                <w:color w:val="auto"/>
                <w:highlight w:val="none"/>
                <w:vertAlign w:val="baseline"/>
                <w:lang w:val="en-US" w:eastAsia="zh-CN"/>
              </w:rPr>
              <w:t>关于公布</w:t>
            </w:r>
            <w:r>
              <w:rPr>
                <w:rFonts w:hint="default" w:ascii="Times New Roman" w:hAnsi="Times New Roman" w:eastAsia="宋体" w:cs="Times New Roman"/>
                <w:b w:val="0"/>
                <w:bCs w:val="0"/>
                <w:color w:val="auto"/>
                <w:highlight w:val="none"/>
                <w:vertAlign w:val="baseline"/>
                <w:lang w:val="en-US" w:eastAsia="zh-CN"/>
              </w:rPr>
              <w:t xml:space="preserve"> </w:t>
            </w:r>
            <w:r>
              <w:rPr>
                <w:rFonts w:hint="eastAsia" w:ascii="Times New Roman" w:hAnsi="Times New Roman" w:eastAsia="宋体" w:cs="Times New Roman"/>
                <w:b w:val="0"/>
                <w:bCs w:val="0"/>
                <w:color w:val="auto"/>
                <w:highlight w:val="none"/>
                <w:vertAlign w:val="baseline"/>
                <w:lang w:val="en-US" w:eastAsia="zh-CN"/>
              </w:rPr>
              <w:t>2023</w:t>
            </w:r>
            <w:r>
              <w:rPr>
                <w:rFonts w:hint="default" w:ascii="Times New Roman" w:hAnsi="Times New Roman" w:eastAsia="宋体" w:cs="Times New Roman"/>
                <w:b w:val="0"/>
                <w:bCs w:val="0"/>
                <w:color w:val="auto"/>
                <w:highlight w:val="none"/>
                <w:vertAlign w:val="baseline"/>
                <w:lang w:val="en-US" w:eastAsia="zh-CN"/>
              </w:rPr>
              <w:t xml:space="preserve"> 年湖南省职业教育精品在线开放课程与专业（群）教学资源库项目立项（认定）结果的通知</w:t>
            </w:r>
            <w:r>
              <w:rPr>
                <w:rFonts w:hint="eastAsia" w:ascii="Times New Roman" w:hAnsi="Times New Roman" w:eastAsia="宋体" w:cs="Times New Roman"/>
                <w:b w:val="0"/>
                <w:bCs w:val="0"/>
                <w:color w:val="auto"/>
                <w:highlight w:val="none"/>
                <w:vertAlign w:val="baseline"/>
                <w:lang w:val="en-US" w:eastAsia="zh-CN"/>
              </w:rPr>
              <w:t>（湘教通〔2023〕341号）（省级），</w:t>
            </w:r>
            <w:r>
              <w:rPr>
                <w:rFonts w:hint="eastAsia" w:ascii="Times New Roman" w:hAnsi="Times New Roman" w:cs="Times New Roman"/>
                <w:b w:val="0"/>
                <w:bCs w:val="0"/>
                <w:color w:val="auto"/>
                <w:highlight w:val="none"/>
                <w:vertAlign w:val="baseline"/>
                <w:lang w:val="en-US" w:eastAsia="zh-CN"/>
              </w:rPr>
              <w:t>《</w:t>
            </w:r>
            <w:r>
              <w:rPr>
                <w:rFonts w:hint="eastAsia" w:ascii="Times New Roman" w:hAnsi="Times New Roman" w:eastAsia="宋体" w:cs="Times New Roman"/>
                <w:b w:val="0"/>
                <w:bCs w:val="0"/>
                <w:color w:val="auto"/>
                <w:highlight w:val="none"/>
                <w:vertAlign w:val="baseline"/>
                <w:lang w:val="en-US" w:eastAsia="zh-CN"/>
              </w:rPr>
              <w:t>数据</w:t>
            </w:r>
            <w:r>
              <w:rPr>
                <w:rFonts w:hint="eastAsia" w:ascii="Times New Roman" w:hAnsi="Times New Roman" w:cs="Times New Roman"/>
                <w:b w:val="0"/>
                <w:bCs w:val="0"/>
                <w:color w:val="auto"/>
                <w:highlight w:val="none"/>
                <w:vertAlign w:val="baseline"/>
                <w:lang w:val="en-US" w:eastAsia="zh-CN"/>
              </w:rPr>
              <w:t>可视化技术》认定项目</w:t>
            </w:r>
            <w:r>
              <w:rPr>
                <w:rFonts w:hint="eastAsia" w:ascii="Times New Roman" w:hAnsi="Times New Roman" w:eastAsia="宋体" w:cs="Times New Roman"/>
                <w:b w:val="0"/>
                <w:bCs w:val="0"/>
                <w:color w:val="auto"/>
                <w:highlight w:val="none"/>
                <w:vertAlign w:val="baseline"/>
                <w:lang w:val="en-US" w:eastAsia="zh-CN"/>
              </w:rPr>
              <w:t>，</w:t>
            </w:r>
            <w:r>
              <w:rPr>
                <w:rFonts w:hint="eastAsia" w:ascii="Times New Roman" w:hAnsi="Times New Roman" w:cs="Times New Roman"/>
                <w:b w:val="0"/>
                <w:bCs w:val="0"/>
                <w:color w:val="auto"/>
                <w:highlight w:val="none"/>
                <w:vertAlign w:val="baseline"/>
                <w:lang w:val="en-US" w:eastAsia="zh-CN"/>
              </w:rPr>
              <w:t>排名第二</w:t>
            </w:r>
            <w:r>
              <w:rPr>
                <w:rFonts w:hint="eastAsia" w:ascii="Times New Roman" w:hAnsi="Times New Roman" w:eastAsia="宋体" w:cs="Times New Roman"/>
                <w:b w:val="0"/>
                <w:bCs w:val="0"/>
                <w:color w:val="auto"/>
                <w:highlight w:val="none"/>
                <w:vertAlign w:val="baseline"/>
                <w:lang w:val="en-US" w:eastAsia="zh-CN"/>
              </w:rPr>
              <w:t>，计</w:t>
            </w:r>
            <w:r>
              <w:rPr>
                <w:rFonts w:hint="eastAsia" w:ascii="Times New Roman" w:hAnsi="Times New Roman" w:cs="Times New Roman"/>
                <w:b w:val="0"/>
                <w:bCs w:val="0"/>
                <w:color w:val="auto"/>
                <w:highlight w:val="none"/>
                <w:vertAlign w:val="baseline"/>
                <w:lang w:val="en-US" w:eastAsia="zh-CN"/>
              </w:rPr>
              <w:t>10</w:t>
            </w:r>
            <w:r>
              <w:rPr>
                <w:rFonts w:hint="eastAsia" w:ascii="Times New Roman" w:hAnsi="Times New Roman" w:eastAsia="宋体" w:cs="Times New Roman"/>
                <w:b w:val="0"/>
                <w:bCs w:val="0"/>
                <w:color w:val="auto"/>
                <w:highlight w:val="none"/>
                <w:vertAlign w:val="baseline"/>
                <w:lang w:val="en-US" w:eastAsia="zh-CN"/>
              </w:rPr>
              <w:t>分。</w:t>
            </w:r>
            <w:r>
              <w:rPr>
                <w:rFonts w:hint="eastAsia"/>
                <w:color w:val="000000" w:themeColor="text1"/>
                <w:szCs w:val="21"/>
                <w:highlight w:val="none"/>
                <w:lang w:val="en-US" w:eastAsia="zh-CN"/>
                <w14:textFill>
                  <w14:solidFill>
                    <w14:schemeClr w14:val="tx1"/>
                  </w14:solidFill>
                </w14:textFill>
              </w:rPr>
              <w:t>（已完成验收且正在运行）</w:t>
            </w:r>
          </w:p>
          <w:p w14:paraId="7BC0E7DA">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关于公布2019年湖南省高等职业教育精品在线开放课程评审结果的通知（湘教通〔2019〕311号）（省级），《Camtasia Studio 视频制作技术》</w:t>
            </w:r>
            <w:r>
              <w:rPr>
                <w:rFonts w:hint="eastAsia" w:ascii="Times New Roman" w:hAnsi="Times New Roman" w:cs="Times New Roman"/>
                <w:b w:val="0"/>
                <w:bCs w:val="0"/>
                <w:color w:val="auto"/>
                <w:highlight w:val="none"/>
                <w:vertAlign w:val="baseline"/>
                <w:lang w:val="en-US" w:eastAsia="zh-CN"/>
              </w:rPr>
              <w:t>认定项目</w:t>
            </w:r>
            <w:r>
              <w:rPr>
                <w:rFonts w:hint="eastAsia" w:ascii="Times New Roman" w:hAnsi="Times New Roman" w:eastAsia="宋体" w:cs="Times New Roman"/>
                <w:b w:val="0"/>
                <w:bCs w:val="0"/>
                <w:color w:val="auto"/>
                <w:highlight w:val="none"/>
                <w:vertAlign w:val="baseline"/>
                <w:lang w:val="en-US" w:eastAsia="zh-CN"/>
              </w:rPr>
              <w:t>，</w:t>
            </w:r>
            <w:r>
              <w:rPr>
                <w:rFonts w:hint="eastAsia" w:ascii="Times New Roman" w:hAnsi="Times New Roman" w:cs="Times New Roman"/>
                <w:b w:val="0"/>
                <w:bCs w:val="0"/>
                <w:color w:val="auto"/>
                <w:highlight w:val="none"/>
                <w:vertAlign w:val="baseline"/>
                <w:lang w:val="en-US" w:eastAsia="zh-CN"/>
              </w:rPr>
              <w:t>排名第二</w:t>
            </w:r>
            <w:r>
              <w:rPr>
                <w:rFonts w:hint="eastAsia" w:ascii="Times New Roman" w:hAnsi="Times New Roman" w:eastAsia="宋体" w:cs="Times New Roman"/>
                <w:b w:val="0"/>
                <w:bCs w:val="0"/>
                <w:color w:val="auto"/>
                <w:highlight w:val="none"/>
                <w:vertAlign w:val="baseline"/>
                <w:lang w:val="en-US" w:eastAsia="zh-CN"/>
              </w:rPr>
              <w:t>，计</w:t>
            </w:r>
            <w:r>
              <w:rPr>
                <w:rFonts w:hint="eastAsia" w:ascii="Times New Roman" w:hAnsi="Times New Roman" w:cs="Times New Roman"/>
                <w:b w:val="0"/>
                <w:bCs w:val="0"/>
                <w:color w:val="auto"/>
                <w:highlight w:val="none"/>
                <w:vertAlign w:val="baseline"/>
                <w:lang w:val="en-US" w:eastAsia="zh-CN"/>
              </w:rPr>
              <w:t>10</w:t>
            </w:r>
            <w:r>
              <w:rPr>
                <w:rFonts w:hint="eastAsia" w:ascii="Times New Roman" w:hAnsi="Times New Roman" w:eastAsia="宋体" w:cs="Times New Roman"/>
                <w:b w:val="0"/>
                <w:bCs w:val="0"/>
                <w:color w:val="auto"/>
                <w:highlight w:val="none"/>
                <w:vertAlign w:val="baseline"/>
                <w:lang w:val="en-US" w:eastAsia="zh-CN"/>
              </w:rPr>
              <w:t>分。</w:t>
            </w:r>
            <w:r>
              <w:rPr>
                <w:rFonts w:hint="eastAsia"/>
                <w:color w:val="000000" w:themeColor="text1"/>
                <w:szCs w:val="21"/>
                <w:highlight w:val="none"/>
                <w:lang w:val="en-US" w:eastAsia="zh-CN"/>
                <w14:textFill>
                  <w14:solidFill>
                    <w14:schemeClr w14:val="tx1"/>
                  </w14:solidFill>
                </w14:textFill>
              </w:rPr>
              <w:t>（已完成验收且正在运行）</w:t>
            </w:r>
          </w:p>
          <w:p w14:paraId="08F3C2B7">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b w:val="0"/>
                <w:bCs w:val="0"/>
                <w:color w:val="auto"/>
                <w:highlight w:val="none"/>
                <w:vertAlign w:val="baseline"/>
                <w:lang w:val="en-US" w:eastAsia="zh-CN"/>
              </w:rPr>
              <w:t>关于公布 2024 年职业教育省级精品在线开放课程认定（验收）结果的通知（省级），</w:t>
            </w:r>
            <w:r>
              <w:rPr>
                <w:rFonts w:hint="eastAsia" w:ascii="Times New Roman" w:hAnsi="Times New Roman" w:cs="Times New Roman"/>
                <w:b w:val="0"/>
                <w:bCs w:val="0"/>
                <w:color w:val="auto"/>
                <w:highlight w:val="none"/>
                <w:vertAlign w:val="baseline"/>
                <w:lang w:val="en-US" w:eastAsia="zh-CN"/>
              </w:rPr>
              <w:t>《</w:t>
            </w:r>
            <w:r>
              <w:rPr>
                <w:rFonts w:hint="eastAsia" w:ascii="Times New Roman" w:hAnsi="Times New Roman" w:eastAsia="宋体" w:cs="Times New Roman"/>
                <w:b w:val="0"/>
                <w:bCs w:val="0"/>
                <w:color w:val="auto"/>
                <w:highlight w:val="none"/>
                <w:vertAlign w:val="baseline"/>
                <w:lang w:val="en-US" w:eastAsia="zh-CN"/>
              </w:rPr>
              <w:t>网络操作系统</w:t>
            </w:r>
            <w:r>
              <w:rPr>
                <w:rFonts w:hint="eastAsia" w:ascii="Times New Roman" w:hAnsi="Times New Roman" w:cs="Times New Roman"/>
                <w:b w:val="0"/>
                <w:bCs w:val="0"/>
                <w:color w:val="auto"/>
                <w:highlight w:val="none"/>
                <w:vertAlign w:val="baseline"/>
                <w:lang w:val="en-US" w:eastAsia="zh-CN"/>
              </w:rPr>
              <w:t>》</w:t>
            </w:r>
            <w:r>
              <w:rPr>
                <w:rFonts w:hint="eastAsia" w:cs="Times New Roman"/>
                <w:b w:val="0"/>
                <w:bCs w:val="0"/>
                <w:color w:val="auto"/>
                <w:highlight w:val="none"/>
                <w:vertAlign w:val="baseline"/>
                <w:lang w:val="en-US" w:eastAsia="zh-CN"/>
              </w:rPr>
              <w:t>认定</w:t>
            </w:r>
            <w:r>
              <w:rPr>
                <w:rFonts w:hint="eastAsia" w:ascii="Times New Roman" w:hAnsi="Times New Roman" w:cs="Times New Roman"/>
                <w:b w:val="0"/>
                <w:bCs w:val="0"/>
                <w:color w:val="auto"/>
                <w:highlight w:val="none"/>
                <w:vertAlign w:val="baseline"/>
                <w:lang w:val="en-US" w:eastAsia="zh-CN"/>
              </w:rPr>
              <w:t>项目</w:t>
            </w:r>
            <w:r>
              <w:rPr>
                <w:rFonts w:hint="eastAsia" w:ascii="Times New Roman" w:hAnsi="Times New Roman" w:eastAsia="宋体" w:cs="Times New Roman"/>
                <w:b w:val="0"/>
                <w:bCs w:val="0"/>
                <w:color w:val="auto"/>
                <w:highlight w:val="none"/>
                <w:vertAlign w:val="baseline"/>
                <w:lang w:val="en-US" w:eastAsia="zh-CN"/>
              </w:rPr>
              <w:t>，</w:t>
            </w:r>
            <w:r>
              <w:rPr>
                <w:rFonts w:hint="eastAsia" w:ascii="Times New Roman" w:hAnsi="Times New Roman" w:cs="Times New Roman"/>
                <w:b w:val="0"/>
                <w:bCs w:val="0"/>
                <w:color w:val="auto"/>
                <w:highlight w:val="none"/>
                <w:vertAlign w:val="baseline"/>
                <w:lang w:val="en-US" w:eastAsia="zh-CN"/>
              </w:rPr>
              <w:t>排名第二</w:t>
            </w:r>
            <w:r>
              <w:rPr>
                <w:rFonts w:hint="eastAsia" w:ascii="Times New Roman" w:hAnsi="Times New Roman" w:eastAsia="宋体" w:cs="Times New Roman"/>
                <w:b w:val="0"/>
                <w:bCs w:val="0"/>
                <w:color w:val="auto"/>
                <w:highlight w:val="none"/>
                <w:vertAlign w:val="baseline"/>
                <w:lang w:val="en-US" w:eastAsia="zh-CN"/>
              </w:rPr>
              <w:t>，计</w:t>
            </w:r>
            <w:r>
              <w:rPr>
                <w:rFonts w:hint="eastAsia" w:cs="Times New Roman"/>
                <w:b w:val="0"/>
                <w:bCs w:val="0"/>
                <w:color w:val="auto"/>
                <w:highlight w:val="none"/>
                <w:vertAlign w:val="baseline"/>
                <w:lang w:val="en-US" w:eastAsia="zh-CN"/>
              </w:rPr>
              <w:t>10</w:t>
            </w:r>
            <w:r>
              <w:rPr>
                <w:rFonts w:hint="eastAsia" w:ascii="Times New Roman" w:hAnsi="Times New Roman" w:eastAsia="宋体" w:cs="Times New Roman"/>
                <w:b w:val="0"/>
                <w:bCs w:val="0"/>
                <w:color w:val="auto"/>
                <w:highlight w:val="none"/>
                <w:vertAlign w:val="baseline"/>
                <w:lang w:val="en-US" w:eastAsia="zh-CN"/>
              </w:rPr>
              <w:t>分。</w:t>
            </w:r>
            <w:r>
              <w:rPr>
                <w:rFonts w:hint="eastAsia"/>
                <w:color w:val="000000" w:themeColor="text1"/>
                <w:szCs w:val="21"/>
                <w:highlight w:val="none"/>
                <w:lang w:val="en-US" w:eastAsia="zh-CN"/>
                <w14:textFill>
                  <w14:solidFill>
                    <w14:schemeClr w14:val="tx1"/>
                  </w14:solidFill>
                </w14:textFill>
              </w:rPr>
              <w:t>（已完成验收且正在运行）</w:t>
            </w:r>
          </w:p>
          <w:p w14:paraId="65939E6C">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关于公布2017年亚行贷款职教示范项目软实力建设项目遴选结果的通知，湖南省亚行贷款软实力建设项目在线网络开放课程（校级），《计算思维与程序设计》，主持，计15分；（已完成验收且正在运行）</w:t>
            </w:r>
          </w:p>
          <w:p w14:paraId="349C8F07">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关于公布2017年亚行贷款职教示范项目软实力建设项目遴选结果的通知，湖南省亚行贷款软实力建设项目在线网络开放课程（校级），《大数据概论》，2022，湖南省教育厅，排名第二，计8分。（已完成验收且正在运行）</w:t>
            </w:r>
          </w:p>
          <w:p w14:paraId="2B92DA51">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default"/>
                <w:color w:val="000000" w:themeColor="text1"/>
                <w:szCs w:val="21"/>
                <w:highlight w:val="none"/>
                <w:lang w:val="en-US" w:eastAsia="zh-CN"/>
                <w14:textFill>
                  <w14:solidFill>
                    <w14:schemeClr w14:val="tx1"/>
                  </w14:solidFill>
                </w14:textFill>
              </w:rPr>
              <w:t>关于公布2017年亚行贷款职教示范项目软实力建设项目遴选结果的通知，湖南省亚行贷款软实力建设项目在线网络开放课程（校级），《网络操作系统》，2022，湖南省教育厅，排名第二，计8分。（已完成验收且正在运行）</w:t>
            </w:r>
          </w:p>
          <w:p w14:paraId="353AE122">
            <w:pPr>
              <w:numPr>
                <w:ilvl w:val="0"/>
                <w:numId w:val="1"/>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default"/>
                <w:color w:val="000000" w:themeColor="text1"/>
                <w:szCs w:val="21"/>
                <w:highlight w:val="none"/>
                <w:lang w:val="en-US" w:eastAsia="zh-CN"/>
                <w14:textFill>
                  <w14:solidFill>
                    <w14:schemeClr w14:val="tx1"/>
                  </w14:solidFill>
                </w14:textFill>
              </w:rPr>
              <w:t>关于批准湖南开放大学2024年度网络课程资源建设项目立项并下达项目经费的通知（湘开大校通〔2025〕73号）（校级），《Python 数据处理技术》，排名第</w:t>
            </w:r>
            <w:r>
              <w:rPr>
                <w:rFonts w:hint="eastAsia"/>
                <w:color w:val="000000" w:themeColor="text1"/>
                <w:szCs w:val="21"/>
                <w:highlight w:val="none"/>
                <w:lang w:val="en-US" w:eastAsia="zh-CN"/>
                <w14:textFill>
                  <w14:solidFill>
                    <w14:schemeClr w14:val="tx1"/>
                  </w14:solidFill>
                </w14:textFill>
              </w:rPr>
              <w:t>三</w:t>
            </w:r>
            <w:r>
              <w:rPr>
                <w:rFonts w:hint="default"/>
                <w:color w:val="000000" w:themeColor="text1"/>
                <w:szCs w:val="21"/>
                <w:highlight w:val="none"/>
                <w:lang w:val="en-US" w:eastAsia="zh-CN"/>
                <w14:textFill>
                  <w14:solidFill>
                    <w14:schemeClr w14:val="tx1"/>
                  </w14:solidFill>
                </w14:textFill>
              </w:rPr>
              <w:t>，计</w:t>
            </w:r>
            <w:r>
              <w:rPr>
                <w:rFonts w:hint="eastAsia"/>
                <w:color w:val="000000" w:themeColor="text1"/>
                <w:szCs w:val="21"/>
                <w:highlight w:val="none"/>
                <w:lang w:val="en-US" w:eastAsia="zh-CN"/>
                <w14:textFill>
                  <w14:solidFill>
                    <w14:schemeClr w14:val="tx1"/>
                  </w14:solidFill>
                </w14:textFill>
              </w:rPr>
              <w:t>2.4</w:t>
            </w:r>
            <w:r>
              <w:rPr>
                <w:rFonts w:hint="default"/>
                <w:color w:val="000000" w:themeColor="text1"/>
                <w:szCs w:val="21"/>
                <w:highlight w:val="none"/>
                <w:lang w:val="en-US" w:eastAsia="zh-CN"/>
                <w14:textFill>
                  <w14:solidFill>
                    <w14:schemeClr w14:val="tx1"/>
                  </w14:solidFill>
                </w14:textFill>
              </w:rPr>
              <w:t>分。（</w:t>
            </w:r>
            <w:r>
              <w:rPr>
                <w:rFonts w:hint="eastAsia"/>
                <w:color w:val="000000" w:themeColor="text1"/>
                <w:szCs w:val="21"/>
                <w:highlight w:val="none"/>
                <w:lang w:val="en-US" w:eastAsia="zh-CN"/>
                <w14:textFill>
                  <w14:solidFill>
                    <w14:schemeClr w14:val="tx1"/>
                  </w14:solidFill>
                </w14:textFill>
              </w:rPr>
              <w:t>未验收</w:t>
            </w:r>
            <w:r>
              <w:rPr>
                <w:rFonts w:hint="default"/>
                <w:color w:val="000000" w:themeColor="text1"/>
                <w:szCs w:val="21"/>
                <w:highlight w:val="none"/>
                <w:lang w:val="en-US" w:eastAsia="zh-CN"/>
                <w14:textFill>
                  <w14:solidFill>
                    <w14:schemeClr w14:val="tx1"/>
                  </w14:solidFill>
                </w14:textFill>
              </w:rPr>
              <w:t>且正在运行）</w:t>
            </w:r>
          </w:p>
        </w:tc>
        <w:tc>
          <w:tcPr>
            <w:tcW w:w="1200" w:type="dxa"/>
            <w:vAlign w:val="center"/>
          </w:tcPr>
          <w:p w14:paraId="2DE37CEA">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363.4</w:t>
            </w:r>
          </w:p>
        </w:tc>
        <w:tc>
          <w:tcPr>
            <w:tcW w:w="1274" w:type="dxa"/>
            <w:vAlign w:val="center"/>
          </w:tcPr>
          <w:p w14:paraId="069D2CCD">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363.4</w:t>
            </w:r>
          </w:p>
        </w:tc>
        <w:tc>
          <w:tcPr>
            <w:tcW w:w="2331" w:type="dxa"/>
            <w:vAlign w:val="center"/>
          </w:tcPr>
          <w:p w14:paraId="240C67C3">
            <w:pPr>
              <w:adjustRightInd w:val="0"/>
              <w:snapToGrid w:val="0"/>
              <w:spacing w:line="276" w:lineRule="auto"/>
              <w:jc w:val="center"/>
              <w:rPr>
                <w:color w:val="A6A6A6" w:themeColor="background1" w:themeShade="A6"/>
                <w:szCs w:val="21"/>
                <w:highlight w:val="none"/>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highlight w:val="none"/>
              </w:rPr>
            </w:pPr>
          </w:p>
        </w:tc>
        <w:tc>
          <w:tcPr>
            <w:tcW w:w="1163" w:type="dxa"/>
            <w:vAlign w:val="center"/>
          </w:tcPr>
          <w:p w14:paraId="75AB3C1F">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建设高水平专业情况</w:t>
            </w:r>
          </w:p>
          <w:p w14:paraId="3FBA204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立项文件（级别）+</w:t>
            </w:r>
            <w:r>
              <w:rPr>
                <w:rFonts w:hint="eastAsia"/>
                <w:color w:val="000000" w:themeColor="text1"/>
                <w:szCs w:val="21"/>
                <w:highlight w:val="none"/>
                <w:lang w:val="en-US" w:eastAsia="zh-CN"/>
                <w14:textFill>
                  <w14:solidFill>
                    <w14:schemeClr w14:val="tx1"/>
                  </w14:solidFill>
                </w14:textFill>
              </w:rPr>
              <w:t>高水平专业名称+</w:t>
            </w:r>
            <w:r>
              <w:rPr>
                <w:rFonts w:hint="eastAsia"/>
                <w:color w:val="000000" w:themeColor="text1"/>
                <w:szCs w:val="21"/>
                <w:highlight w:val="none"/>
                <w14:textFill>
                  <w14:solidFill>
                    <w14:schemeClr w14:val="tx1"/>
                  </w14:solidFill>
                </w14:textFill>
              </w:rPr>
              <w:t>主持或参与名次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72137989">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1）湘教通[2022]199号关于公布湖南省楚怡高水平高职学校和专业群建设计划及楚怡优质中职学校和专业（群）建设计划建设单位名单的通知（省级），数字媒体技术专业群，排名第二，计30分；（立项未验收）</w:t>
            </w:r>
          </w:p>
        </w:tc>
        <w:tc>
          <w:tcPr>
            <w:tcW w:w="1200" w:type="dxa"/>
            <w:vAlign w:val="center"/>
          </w:tcPr>
          <w:p w14:paraId="2AD8D4CD">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30</w:t>
            </w:r>
          </w:p>
        </w:tc>
        <w:tc>
          <w:tcPr>
            <w:tcW w:w="1274" w:type="dxa"/>
            <w:vAlign w:val="center"/>
          </w:tcPr>
          <w:p w14:paraId="281E89E4">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30</w:t>
            </w:r>
          </w:p>
        </w:tc>
        <w:tc>
          <w:tcPr>
            <w:tcW w:w="2331" w:type="dxa"/>
            <w:vAlign w:val="center"/>
          </w:tcPr>
          <w:p w14:paraId="47EA6CAE">
            <w:pPr>
              <w:adjustRightInd w:val="0"/>
              <w:snapToGrid w:val="0"/>
              <w:spacing w:line="276" w:lineRule="auto"/>
              <w:jc w:val="center"/>
              <w:rPr>
                <w:rFonts w:hint="eastAsia"/>
                <w:color w:val="A6A6A6" w:themeColor="background1" w:themeShade="A6"/>
                <w:szCs w:val="21"/>
                <w:highlight w:val="none"/>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highlight w:val="none"/>
              </w:rPr>
            </w:pPr>
          </w:p>
        </w:tc>
        <w:tc>
          <w:tcPr>
            <w:tcW w:w="1163" w:type="dxa"/>
            <w:vAlign w:val="center"/>
          </w:tcPr>
          <w:p w14:paraId="789674C1">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新申报专业情况</w:t>
            </w:r>
          </w:p>
          <w:p w14:paraId="1AFB90F9">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年份+新申报</w:t>
            </w:r>
            <w:r>
              <w:rPr>
                <w:rFonts w:hint="eastAsia"/>
                <w:color w:val="000000" w:themeColor="text1"/>
                <w:szCs w:val="21"/>
                <w:highlight w:val="none"/>
                <w:lang w:val="en-US" w:eastAsia="zh-CN"/>
                <w14:textFill>
                  <w14:solidFill>
                    <w14:schemeClr w14:val="tx1"/>
                  </w14:solidFill>
                </w14:textFill>
              </w:rPr>
              <w:t>专业名称+</w:t>
            </w:r>
            <w:r>
              <w:rPr>
                <w:rFonts w:hint="eastAsia"/>
                <w:color w:val="000000" w:themeColor="text1"/>
                <w:szCs w:val="21"/>
                <w:highlight w:val="none"/>
                <w14:textFill>
                  <w14:solidFill>
                    <w14:schemeClr w14:val="tx1"/>
                  </w14:solidFill>
                </w14:textFill>
              </w:rPr>
              <w:t>主持或参与名次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71906863">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1）2021年，大数据技术与应用专业通过新专业合格性评价，主持，计15分；</w:t>
            </w:r>
          </w:p>
          <w:p w14:paraId="031A7612">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2）2021年，大数据技术专业通过专业人才培养方案优秀等级评价，主持，计15分；</w:t>
            </w:r>
          </w:p>
        </w:tc>
        <w:tc>
          <w:tcPr>
            <w:tcW w:w="1200" w:type="dxa"/>
            <w:vAlign w:val="center"/>
          </w:tcPr>
          <w:p w14:paraId="560F1C0D">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30</w:t>
            </w:r>
          </w:p>
        </w:tc>
        <w:tc>
          <w:tcPr>
            <w:tcW w:w="1274" w:type="dxa"/>
            <w:vAlign w:val="center"/>
          </w:tcPr>
          <w:p w14:paraId="32A4B0B9">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30</w:t>
            </w:r>
          </w:p>
        </w:tc>
        <w:tc>
          <w:tcPr>
            <w:tcW w:w="2331" w:type="dxa"/>
            <w:vAlign w:val="center"/>
          </w:tcPr>
          <w:p w14:paraId="2606A129">
            <w:pPr>
              <w:adjustRightInd w:val="0"/>
              <w:snapToGrid w:val="0"/>
              <w:spacing w:line="276" w:lineRule="auto"/>
              <w:jc w:val="center"/>
              <w:rPr>
                <w:rFonts w:hint="eastAsia"/>
                <w:color w:val="A6A6A6" w:themeColor="background1" w:themeShade="A6"/>
                <w:szCs w:val="21"/>
                <w:highlight w:val="none"/>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highlight w:val="none"/>
              </w:rPr>
            </w:pPr>
          </w:p>
        </w:tc>
        <w:tc>
          <w:tcPr>
            <w:tcW w:w="1163" w:type="dxa"/>
            <w:vAlign w:val="center"/>
          </w:tcPr>
          <w:p w14:paraId="1017A07C">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年份+项目</w:t>
            </w:r>
            <w:r>
              <w:rPr>
                <w:rFonts w:hint="eastAsia"/>
                <w:color w:val="000000" w:themeColor="text1"/>
                <w:szCs w:val="21"/>
                <w:highlight w:val="none"/>
                <w:lang w:val="en-US" w:eastAsia="zh-CN"/>
                <w14:textFill>
                  <w14:solidFill>
                    <w14:schemeClr w14:val="tx1"/>
                  </w14:solidFill>
                </w14:textFill>
              </w:rPr>
              <w:t>名称+</w:t>
            </w:r>
            <w:r>
              <w:rPr>
                <w:rFonts w:hint="eastAsia"/>
                <w:color w:val="000000" w:themeColor="text1"/>
                <w:szCs w:val="21"/>
                <w:highlight w:val="none"/>
                <w14:textFill>
                  <w14:solidFill>
                    <w14:schemeClr w14:val="tx1"/>
                  </w14:solidFill>
                </w14:textFill>
              </w:rPr>
              <w:t>主持或参与名次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33B50550">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1）2020年，计算机应用技术专业通过省级毕业设计抽查，主持，计10分；</w:t>
            </w:r>
          </w:p>
          <w:p w14:paraId="4DBFF75D">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2）2021年，大数据技术与应用专业省级技能抽查100%通过，主持，计10分；</w:t>
            </w:r>
          </w:p>
          <w:p w14:paraId="7F2BA419">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3）2021年，大数据技术专业省级技能抽查100%通过，主持，计10分；</w:t>
            </w:r>
          </w:p>
          <w:p w14:paraId="4458B809">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4）2016年，计算机应用技术专业省级技能抽查100%通过，主持，计10分；</w:t>
            </w:r>
          </w:p>
        </w:tc>
        <w:tc>
          <w:tcPr>
            <w:tcW w:w="1200" w:type="dxa"/>
            <w:vAlign w:val="center"/>
          </w:tcPr>
          <w:p w14:paraId="0D5B657C">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40</w:t>
            </w:r>
          </w:p>
        </w:tc>
        <w:tc>
          <w:tcPr>
            <w:tcW w:w="1274" w:type="dxa"/>
            <w:vAlign w:val="center"/>
          </w:tcPr>
          <w:p w14:paraId="726D3023">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40</w:t>
            </w:r>
          </w:p>
        </w:tc>
        <w:tc>
          <w:tcPr>
            <w:tcW w:w="2331" w:type="dxa"/>
            <w:vAlign w:val="center"/>
          </w:tcPr>
          <w:p w14:paraId="66DF5A22">
            <w:pPr>
              <w:adjustRightInd w:val="0"/>
              <w:snapToGrid w:val="0"/>
              <w:spacing w:line="276" w:lineRule="auto"/>
              <w:jc w:val="center"/>
              <w:rPr>
                <w:rFonts w:hint="eastAsia"/>
                <w:color w:val="A6A6A6" w:themeColor="background1" w:themeShade="A6"/>
                <w:szCs w:val="21"/>
                <w:highlight w:val="none"/>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highlight w:val="none"/>
              </w:rPr>
            </w:pPr>
          </w:p>
        </w:tc>
        <w:tc>
          <w:tcPr>
            <w:tcW w:w="1163" w:type="dxa"/>
            <w:vAlign w:val="center"/>
          </w:tcPr>
          <w:p w14:paraId="64CE5DBF">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立项文件（级别）+基地立项名称</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主持或参与名次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09820157">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[1]关于公布 2022年湖南省职业教育“楚怡”行动高水平教师队伍建设项目遴选结果的通知（湘教通〔2023〕211号）（省级），“楚怡”名师工作室，主持，计8.4分；</w:t>
            </w:r>
          </w:p>
        </w:tc>
        <w:tc>
          <w:tcPr>
            <w:tcW w:w="1200" w:type="dxa"/>
            <w:vAlign w:val="center"/>
          </w:tcPr>
          <w:p w14:paraId="765863EB">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8.4</w:t>
            </w:r>
          </w:p>
        </w:tc>
        <w:tc>
          <w:tcPr>
            <w:tcW w:w="1274" w:type="dxa"/>
            <w:vAlign w:val="center"/>
          </w:tcPr>
          <w:p w14:paraId="459C88D4">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8.4</w:t>
            </w:r>
          </w:p>
        </w:tc>
        <w:tc>
          <w:tcPr>
            <w:tcW w:w="2331" w:type="dxa"/>
            <w:vAlign w:val="center"/>
          </w:tcPr>
          <w:p w14:paraId="376DFB43">
            <w:pPr>
              <w:adjustRightInd w:val="0"/>
              <w:snapToGrid w:val="0"/>
              <w:spacing w:line="276" w:lineRule="auto"/>
              <w:jc w:val="both"/>
              <w:rPr>
                <w:rFonts w:hint="eastAsia"/>
                <w:color w:val="A6A6A6" w:themeColor="background1" w:themeShade="A6"/>
                <w:szCs w:val="21"/>
                <w:highlight w:val="none"/>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highlight w:val="none"/>
              </w:rPr>
            </w:pPr>
          </w:p>
        </w:tc>
        <w:tc>
          <w:tcPr>
            <w:tcW w:w="1163" w:type="dxa"/>
            <w:vAlign w:val="center"/>
          </w:tcPr>
          <w:p w14:paraId="63A71D2D">
            <w:pPr>
              <w:adjustRightInd w:val="0"/>
              <w:snapToGrid w:val="0"/>
              <w:spacing w:line="276" w:lineRule="auto"/>
              <w:jc w:val="center"/>
              <w:rPr>
                <w:rFonts w:hint="eastAsia"/>
                <w:szCs w:val="21"/>
                <w:highlight w:val="none"/>
                <w:lang w:val="en-US" w:eastAsia="zh-CN"/>
              </w:rPr>
            </w:pPr>
            <w:r>
              <w:rPr>
                <w:rFonts w:hint="eastAsia"/>
                <w:szCs w:val="21"/>
                <w:highlight w:val="none"/>
              </w:rPr>
              <w:t>3-4</w:t>
            </w:r>
            <w:r>
              <w:rPr>
                <w:rFonts w:hint="eastAsia"/>
                <w:szCs w:val="21"/>
                <w:highlight w:val="none"/>
                <w:lang w:val="en-US" w:eastAsia="zh-CN"/>
              </w:rPr>
              <w:t>-8</w:t>
            </w:r>
          </w:p>
          <w:p w14:paraId="497C7E2E">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年月+</w:t>
            </w:r>
            <w:r>
              <w:rPr>
                <w:rFonts w:hint="eastAsia"/>
                <w:color w:val="000000" w:themeColor="text1"/>
                <w:szCs w:val="21"/>
                <w:highlight w:val="none"/>
                <w14:textFill>
                  <w14:solidFill>
                    <w14:schemeClr w14:val="tx1"/>
                  </w14:solidFill>
                </w14:textFill>
              </w:rPr>
              <w:t>任教研室、实验室主任</w:t>
            </w:r>
            <w:r>
              <w:rPr>
                <w:rFonts w:hint="eastAsia"/>
                <w:color w:val="000000" w:themeColor="text1"/>
                <w:szCs w:val="21"/>
                <w:highlight w:val="none"/>
                <w:lang w:val="en-US" w:eastAsia="zh-CN"/>
                <w14:textFill>
                  <w14:solidFill>
                    <w14:schemeClr w14:val="tx1"/>
                  </w14:solidFill>
                </w14:textFill>
              </w:rPr>
              <w:t>情况+计分</w:t>
            </w:r>
            <w:r>
              <w:rPr>
                <w:rFonts w:hint="eastAsia"/>
                <w:color w:val="000000" w:themeColor="text1"/>
                <w:szCs w:val="21"/>
                <w:highlight w:val="none"/>
                <w14:textFill>
                  <w14:solidFill>
                    <w14:schemeClr w14:val="tx1"/>
                  </w14:solidFill>
                </w14:textFill>
              </w:rPr>
              <w:t>。</w:t>
            </w:r>
          </w:p>
          <w:p w14:paraId="40A259E0">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1）2016年9月-2020年4月，计算机应用技术专业教研室主任，计3分；</w:t>
            </w:r>
          </w:p>
        </w:tc>
        <w:tc>
          <w:tcPr>
            <w:tcW w:w="1200" w:type="dxa"/>
            <w:vAlign w:val="center"/>
          </w:tcPr>
          <w:p w14:paraId="5B13E1A4">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3</w:t>
            </w:r>
          </w:p>
        </w:tc>
        <w:tc>
          <w:tcPr>
            <w:tcW w:w="1274" w:type="dxa"/>
            <w:vAlign w:val="center"/>
          </w:tcPr>
          <w:p w14:paraId="0CADC718">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0EE7D1E7">
            <w:pPr>
              <w:adjustRightInd w:val="0"/>
              <w:snapToGrid w:val="0"/>
              <w:spacing w:line="276" w:lineRule="auto"/>
              <w:jc w:val="center"/>
              <w:rPr>
                <w:rFonts w:hint="eastAsia"/>
                <w:color w:val="A6A6A6" w:themeColor="background1" w:themeShade="A6"/>
                <w:szCs w:val="21"/>
                <w:highlight w:val="none"/>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highlight w:val="none"/>
              </w:rPr>
            </w:pPr>
          </w:p>
        </w:tc>
        <w:tc>
          <w:tcPr>
            <w:tcW w:w="1163" w:type="dxa"/>
            <w:vAlign w:val="center"/>
          </w:tcPr>
          <w:p w14:paraId="0F3283B4">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教材编写情况</w:t>
            </w:r>
          </w:p>
          <w:p w14:paraId="6D07392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[1]</w:t>
            </w:r>
            <w:r>
              <w:rPr>
                <w:rFonts w:hint="eastAsia" w:ascii="宋体" w:hAnsi="宋体" w:eastAsia="宋体" w:cs="宋体"/>
                <w:highlight w:val="none"/>
                <w:lang w:val="en-US" w:eastAsia="zh-CN"/>
              </w:rPr>
              <w:t>主编：陆燕，刘艳，银奕淇，基于工作过程-Camtasia Studio视频制作技术，西北工业大学出版社，</w:t>
            </w:r>
            <w:r>
              <w:rPr>
                <w:rFonts w:hint="eastAsia" w:ascii="宋体" w:hAnsi="宋体" w:cs="宋体"/>
                <w:highlight w:val="none"/>
                <w:lang w:val="en-US" w:eastAsia="zh-CN"/>
              </w:rPr>
              <w:t>159千字，2017，第二主编，</w:t>
            </w:r>
            <w:r>
              <w:rPr>
                <w:rFonts w:hint="eastAsia" w:ascii="宋体" w:hAnsi="宋体" w:eastAsia="宋体" w:cs="宋体"/>
                <w:highlight w:val="none"/>
                <w:lang w:val="en-US" w:eastAsia="zh-CN"/>
              </w:rPr>
              <w:t>（省级优秀教材），计</w:t>
            </w:r>
            <w:r>
              <w:rPr>
                <w:rFonts w:hint="eastAsia" w:ascii="宋体" w:hAnsi="宋体" w:cs="宋体"/>
                <w:highlight w:val="none"/>
                <w:lang w:val="en-US" w:eastAsia="zh-CN"/>
              </w:rPr>
              <w:t>1</w:t>
            </w:r>
            <w:r>
              <w:rPr>
                <w:rFonts w:hint="eastAsia" w:ascii="宋体" w:hAnsi="宋体" w:eastAsia="宋体" w:cs="宋体"/>
                <w:highlight w:val="none"/>
                <w:lang w:val="en-US" w:eastAsia="zh-CN"/>
              </w:rPr>
              <w:t>0分</w:t>
            </w:r>
          </w:p>
          <w:p w14:paraId="77CEA611">
            <w:pPr>
              <w:adjustRightInd w:val="0"/>
              <w:snapToGrid w:val="0"/>
              <w:spacing w:line="276" w:lineRule="auto"/>
              <w:rPr>
                <w:rFonts w:hint="default" w:ascii="宋体" w:hAnsi="宋体" w:eastAsia="宋体" w:cs="宋体"/>
                <w:highlight w:val="none"/>
                <w:lang w:val="en-US" w:eastAsia="zh-CN"/>
              </w:rPr>
            </w:pPr>
            <w:r>
              <w:rPr>
                <w:rFonts w:hint="eastAsia" w:ascii="宋体" w:hAnsi="宋体" w:cs="宋体"/>
                <w:highlight w:val="none"/>
                <w:lang w:val="en-US" w:eastAsia="zh-CN"/>
              </w:rPr>
              <w:t>[2]</w:t>
            </w:r>
            <w:r>
              <w:rPr>
                <w:rFonts w:hint="eastAsia" w:ascii="宋体" w:hAnsi="宋体" w:eastAsia="宋体" w:cs="宋体"/>
                <w:highlight w:val="none"/>
                <w:lang w:val="en-US" w:eastAsia="zh-CN"/>
              </w:rPr>
              <w:t>主编：刘艳、马萌，曹清清，副主编：刘芳，银奕淇等，信息技术应用基础工作手册式教材，湘潭大学出版社，</w:t>
            </w:r>
            <w:r>
              <w:rPr>
                <w:rFonts w:hint="eastAsia" w:ascii="宋体" w:hAnsi="宋体" w:cs="宋体"/>
                <w:highlight w:val="none"/>
                <w:lang w:val="en-US" w:eastAsia="zh-CN"/>
              </w:rPr>
              <w:t>437千字，</w:t>
            </w:r>
            <w:r>
              <w:rPr>
                <w:rFonts w:hint="eastAsia" w:ascii="宋体" w:hAnsi="宋体" w:eastAsia="宋体" w:cs="宋体"/>
                <w:highlight w:val="none"/>
                <w:lang w:val="en-US" w:eastAsia="zh-CN"/>
              </w:rPr>
              <w:t>2021，</w:t>
            </w:r>
            <w:r>
              <w:rPr>
                <w:rFonts w:hint="eastAsia" w:ascii="宋体" w:hAnsi="宋体" w:cs="宋体"/>
                <w:highlight w:val="none"/>
                <w:lang w:val="en-US" w:eastAsia="zh-CN"/>
              </w:rPr>
              <w:t>第一主编</w:t>
            </w:r>
            <w:r>
              <w:rPr>
                <w:rFonts w:hint="eastAsia" w:ascii="宋体" w:hAnsi="宋体" w:eastAsia="宋体" w:cs="宋体"/>
                <w:highlight w:val="none"/>
                <w:lang w:val="en-US" w:eastAsia="zh-CN"/>
              </w:rPr>
              <w:t>，（校级规划教材）</w:t>
            </w:r>
            <w:r>
              <w:rPr>
                <w:rFonts w:hint="eastAsia" w:ascii="宋体" w:hAnsi="宋体" w:cs="宋体"/>
                <w:highlight w:val="none"/>
                <w:lang w:val="en-US" w:eastAsia="zh-CN"/>
              </w:rPr>
              <w:t>，计10分</w:t>
            </w:r>
          </w:p>
          <w:p w14:paraId="7B5BF4FE">
            <w:pPr>
              <w:adjustRightInd w:val="0"/>
              <w:snapToGrid w:val="0"/>
              <w:spacing w:line="276" w:lineRule="auto"/>
              <w:rPr>
                <w:rFonts w:hint="eastAsia" w:ascii="宋体" w:hAnsi="宋体" w:cs="宋体"/>
                <w:highlight w:val="none"/>
                <w:lang w:val="en-US" w:eastAsia="zh-CN"/>
              </w:rPr>
            </w:pPr>
            <w:r>
              <w:rPr>
                <w:rFonts w:hint="eastAsia" w:ascii="宋体" w:hAnsi="宋体" w:cs="宋体"/>
                <w:highlight w:val="none"/>
                <w:lang w:val="en-US" w:eastAsia="zh-CN"/>
              </w:rPr>
              <w:t>[3]主编：朱新洲、刘艳，新时代数字生活手册-微信社交篇，国家开放大学出版社，75千字，2022，第二主编，</w:t>
            </w:r>
            <w:r>
              <w:rPr>
                <w:rFonts w:hint="eastAsia" w:ascii="宋体" w:hAnsi="宋体" w:eastAsia="宋体" w:cs="宋体"/>
                <w:highlight w:val="none"/>
                <w:lang w:val="en-US" w:eastAsia="zh-CN"/>
              </w:rPr>
              <w:t>（校级规划教材）</w:t>
            </w:r>
            <w:r>
              <w:rPr>
                <w:rFonts w:hint="eastAsia" w:ascii="宋体" w:hAnsi="宋体" w:cs="宋体"/>
                <w:highlight w:val="none"/>
                <w:lang w:val="en-US" w:eastAsia="zh-CN"/>
              </w:rPr>
              <w:t>，计5分</w:t>
            </w:r>
          </w:p>
          <w:p w14:paraId="6F646A9A">
            <w:pPr>
              <w:adjustRightInd w:val="0"/>
              <w:snapToGrid w:val="0"/>
              <w:spacing w:line="276" w:lineRule="auto"/>
              <w:rPr>
                <w:rFonts w:hint="default" w:ascii="宋体" w:hAnsi="宋体" w:eastAsia="宋体" w:cs="宋体"/>
                <w:highlight w:val="none"/>
                <w:lang w:val="en-US" w:eastAsia="zh-CN"/>
              </w:rPr>
            </w:pPr>
            <w:r>
              <w:rPr>
                <w:rFonts w:hint="eastAsia" w:ascii="宋体" w:hAnsi="宋体" w:cs="宋体"/>
                <w:highlight w:val="none"/>
                <w:lang w:val="en-US" w:eastAsia="zh-CN"/>
              </w:rPr>
              <w:t>[4]主编：刘艳、朱新洲，新时代数字生活手册-移动金融篇，国家开放大学出版社，102千字，2023，第一主编，</w:t>
            </w:r>
            <w:r>
              <w:rPr>
                <w:rFonts w:hint="eastAsia" w:ascii="宋体" w:hAnsi="宋体" w:eastAsia="宋体" w:cs="宋体"/>
                <w:highlight w:val="none"/>
                <w:lang w:val="en-US" w:eastAsia="zh-CN"/>
              </w:rPr>
              <w:t>（校级规划教材）</w:t>
            </w:r>
            <w:r>
              <w:rPr>
                <w:rFonts w:hint="eastAsia" w:ascii="宋体" w:hAnsi="宋体" w:cs="宋体"/>
                <w:highlight w:val="none"/>
                <w:lang w:val="en-US" w:eastAsia="zh-CN"/>
              </w:rPr>
              <w:t>，计10分</w:t>
            </w:r>
          </w:p>
          <w:p w14:paraId="1B9F2D76">
            <w:pPr>
              <w:adjustRightInd w:val="0"/>
              <w:snapToGrid w:val="0"/>
              <w:spacing w:line="276" w:lineRule="auto"/>
              <w:rPr>
                <w:rFonts w:hint="default" w:ascii="宋体" w:hAnsi="宋体" w:eastAsia="宋体" w:cs="宋体"/>
                <w:highlight w:val="none"/>
                <w:lang w:val="en-US" w:eastAsia="zh-CN"/>
              </w:rPr>
            </w:pPr>
            <w:r>
              <w:rPr>
                <w:rFonts w:hint="eastAsia" w:ascii="宋体" w:hAnsi="宋体" w:cs="宋体"/>
                <w:highlight w:val="none"/>
                <w:lang w:val="en-US" w:eastAsia="zh-CN"/>
              </w:rPr>
              <w:t>[5]主编：朱新洲、王东江、刘艳等，老年人掌上智慧生活，国家开放大学出版社，205千字，2021，第一副主编，</w:t>
            </w:r>
            <w:r>
              <w:rPr>
                <w:rFonts w:hint="eastAsia" w:ascii="宋体" w:hAnsi="宋体" w:eastAsia="宋体" w:cs="宋体"/>
                <w:highlight w:val="none"/>
                <w:lang w:val="en-US" w:eastAsia="zh-CN"/>
              </w:rPr>
              <w:t>（校级规划教材）</w:t>
            </w:r>
            <w:r>
              <w:rPr>
                <w:rFonts w:hint="eastAsia" w:ascii="宋体" w:hAnsi="宋体" w:cs="宋体"/>
                <w:highlight w:val="none"/>
                <w:lang w:val="en-US" w:eastAsia="zh-CN"/>
              </w:rPr>
              <w:t>，计5分</w:t>
            </w:r>
          </w:p>
        </w:tc>
        <w:tc>
          <w:tcPr>
            <w:tcW w:w="1200" w:type="dxa"/>
            <w:vAlign w:val="center"/>
          </w:tcPr>
          <w:p w14:paraId="04098A96">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40</w:t>
            </w:r>
          </w:p>
        </w:tc>
        <w:tc>
          <w:tcPr>
            <w:tcW w:w="1274" w:type="dxa"/>
            <w:vAlign w:val="center"/>
          </w:tcPr>
          <w:p w14:paraId="2AB13C3A">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40</w:t>
            </w:r>
          </w:p>
        </w:tc>
        <w:tc>
          <w:tcPr>
            <w:tcW w:w="2331" w:type="dxa"/>
            <w:vAlign w:val="center"/>
          </w:tcPr>
          <w:p w14:paraId="2CD9768D">
            <w:pPr>
              <w:adjustRightInd w:val="0"/>
              <w:snapToGrid w:val="0"/>
              <w:spacing w:line="276" w:lineRule="auto"/>
              <w:jc w:val="center"/>
              <w:rPr>
                <w:rFonts w:hint="eastAsia"/>
                <w:color w:val="A6A6A6" w:themeColor="background1" w:themeShade="A6"/>
                <w:szCs w:val="21"/>
                <w:highlight w:val="none"/>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highlight w:val="none"/>
              </w:rPr>
            </w:pPr>
          </w:p>
        </w:tc>
        <w:tc>
          <w:tcPr>
            <w:tcW w:w="1163" w:type="dxa"/>
            <w:vAlign w:val="center"/>
          </w:tcPr>
          <w:p w14:paraId="5A4C7E15">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3-5</w:t>
            </w:r>
          </w:p>
          <w:p w14:paraId="5E8F1590">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教学成果奖情况</w:t>
            </w:r>
          </w:p>
          <w:p w14:paraId="15F421F0">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eastAsia="zh-CN"/>
              </w:rPr>
              <w:t>填写格式：</w:t>
            </w:r>
            <w:r>
              <w:rPr>
                <w:rFonts w:hint="eastAsia"/>
                <w:color w:val="000000" w:themeColor="text1"/>
                <w:szCs w:val="21"/>
                <w:highlight w:val="none"/>
                <w14:textFill>
                  <w14:solidFill>
                    <w14:schemeClr w14:val="tx1"/>
                  </w14:solidFill>
                </w14:textFill>
              </w:rPr>
              <w:t>获奖时间</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奖项等级</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完成人名次</w:t>
            </w:r>
            <w:r>
              <w:rPr>
                <w:rFonts w:hint="eastAsia"/>
                <w:color w:val="000000" w:themeColor="text1"/>
                <w:szCs w:val="21"/>
                <w:highlight w:val="none"/>
                <w:lang w:val="en-US" w:eastAsia="zh-CN"/>
                <w14:textFill>
                  <w14:solidFill>
                    <w14:schemeClr w14:val="tx1"/>
                  </w14:solidFill>
                </w14:textFill>
              </w:rPr>
              <w:t>+计分</w:t>
            </w:r>
            <w:r>
              <w:rPr>
                <w:rFonts w:hint="eastAsia"/>
                <w:color w:val="000000" w:themeColor="text1"/>
                <w:szCs w:val="21"/>
                <w:highlight w:val="none"/>
                <w14:textFill>
                  <w14:solidFill>
                    <w14:schemeClr w14:val="tx1"/>
                  </w14:solidFill>
                </w14:textFill>
              </w:rPr>
              <w:t>。</w:t>
            </w:r>
          </w:p>
          <w:p w14:paraId="71EA3E75">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1）2022年，湖南省职业教育教学成果奖一等奖，排名第三，计60分；</w:t>
            </w:r>
          </w:p>
          <w:p w14:paraId="7419F15F">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2）2018年，湖南省职业教育教学成果奖二等奖，排名第四，计15分；</w:t>
            </w:r>
            <w:r>
              <w:rPr>
                <w:rFonts w:hint="eastAsia"/>
                <w:color w:val="000000" w:themeColor="text1"/>
                <w:szCs w:val="21"/>
                <w:highlight w:val="none"/>
                <w14:textFill>
                  <w14:solidFill>
                    <w14:schemeClr w14:val="tx1"/>
                  </w14:solidFill>
                </w14:textFill>
              </w:rPr>
              <w:tab/>
            </w:r>
          </w:p>
          <w:p w14:paraId="203A874D">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3）2018年，湖南省职业教育教学成果奖三等奖，排名第三，计10分；</w:t>
            </w:r>
          </w:p>
          <w:p w14:paraId="703F1CE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4）2025年，湖南开放大学职业教育教学成果奖特等奖，排名第一，计10分；</w:t>
            </w:r>
            <w:r>
              <w:rPr>
                <w:rFonts w:hint="eastAsia"/>
                <w:color w:val="000000" w:themeColor="text1"/>
                <w:szCs w:val="21"/>
                <w:highlight w:val="none"/>
                <w14:textFill>
                  <w14:solidFill>
                    <w14:schemeClr w14:val="tx1"/>
                  </w14:solidFill>
                </w14:textFill>
              </w:rPr>
              <w:tab/>
            </w:r>
          </w:p>
          <w:p w14:paraId="3FCCB681">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5）2017年，湖南广播电视大学教育教学成果奖二等奖，排名第一，计5分；</w:t>
            </w:r>
          </w:p>
          <w:p w14:paraId="2CBEACE3">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2020年，湖南省职业院校线上教学优秀案例，“疫路相伴，教学相长</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大数据助力线上教学管理与监测”，排名第</w:t>
            </w: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，计10分；</w:t>
            </w:r>
          </w:p>
          <w:p w14:paraId="2FBCA89C">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2020年，湖南省职业院校线上教学优秀案例，“疫情下的高职《网络安全技术》三体一体虚拟实训教学模式”，排名第</w:t>
            </w: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，计</w:t>
            </w:r>
            <w:r>
              <w:rPr>
                <w:rFonts w:hint="eastAsia"/>
                <w:color w:val="000000" w:themeColor="text1"/>
                <w:szCs w:val="21"/>
                <w:highlight w:val="none"/>
                <w:lang w:val="en-US" w:eastAsia="zh-CN"/>
                <w14:textFill>
                  <w14:solidFill>
                    <w14:schemeClr w14:val="tx1"/>
                  </w14:solidFill>
                </w14:textFill>
              </w:rPr>
              <w:t>20</w:t>
            </w:r>
            <w:r>
              <w:rPr>
                <w:rFonts w:hint="eastAsia"/>
                <w:color w:val="000000" w:themeColor="text1"/>
                <w:szCs w:val="21"/>
                <w:highlight w:val="none"/>
                <w14:textFill>
                  <w14:solidFill>
                    <w14:schemeClr w14:val="tx1"/>
                  </w14:solidFill>
                </w14:textFill>
              </w:rPr>
              <w:t>分。</w:t>
            </w:r>
          </w:p>
        </w:tc>
        <w:tc>
          <w:tcPr>
            <w:tcW w:w="1200" w:type="dxa"/>
            <w:vAlign w:val="center"/>
          </w:tcPr>
          <w:p w14:paraId="366429EF">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130</w:t>
            </w:r>
          </w:p>
        </w:tc>
        <w:tc>
          <w:tcPr>
            <w:tcW w:w="1274" w:type="dxa"/>
            <w:vAlign w:val="center"/>
          </w:tcPr>
          <w:p w14:paraId="62E13243">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95</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highlight w:val="none"/>
              </w:rPr>
            </w:pPr>
          </w:p>
        </w:tc>
        <w:tc>
          <w:tcPr>
            <w:tcW w:w="1163" w:type="dxa"/>
            <w:vMerge w:val="restart"/>
            <w:vAlign w:val="center"/>
          </w:tcPr>
          <w:p w14:paraId="419CB715">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3-6</w:t>
            </w:r>
          </w:p>
          <w:p w14:paraId="159289D3">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highlight w:val="none"/>
                <w:lang w:val="en-US" w:eastAsia="zh-CN"/>
                <w14:textFill>
                  <w14:solidFill>
                    <w14:schemeClr w14:val="accent1"/>
                  </w14:solidFill>
                </w14:textFill>
              </w:rPr>
            </w:pPr>
            <w:r>
              <w:rPr>
                <w:rFonts w:hint="eastAsia"/>
                <w:color w:val="558ED5" w:themeColor="text2" w:themeTint="99"/>
                <w:szCs w:val="21"/>
                <w:highlight w:val="none"/>
                <w14:textFill>
                  <w14:solidFill>
                    <w14:schemeClr w14:val="tx2">
                      <w14:lumMod w14:val="60000"/>
                      <w14:lumOff w14:val="40000"/>
                    </w14:schemeClr>
                  </w14:solidFill>
                </w14:textFill>
              </w:rPr>
              <w:t>3-6-1</w:t>
            </w: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指</w:t>
            </w:r>
            <w:r>
              <w:rPr>
                <w:rFonts w:hint="eastAsia" w:eastAsia="宋体"/>
                <w:color w:val="4F81BD" w:themeColor="accent1"/>
                <w:szCs w:val="21"/>
                <w:highlight w:val="none"/>
                <w:lang w:val="en-US" w:eastAsia="zh-CN"/>
                <w14:textFill>
                  <w14:solidFill>
                    <w14:schemeClr w14:val="accent1"/>
                  </w14:solidFill>
                </w14:textFill>
              </w:rPr>
              <w:t>导学生参加政府部门主办的竞赛等</w:t>
            </w:r>
          </w:p>
          <w:p w14:paraId="57F1CC67">
            <w:pPr>
              <w:adjustRightInd w:val="0"/>
              <w:snapToGrid w:val="0"/>
              <w:spacing w:line="276" w:lineRule="auto"/>
              <w:rPr>
                <w:rFonts w:hint="default"/>
                <w:b w:val="0"/>
                <w:bCs w:val="0"/>
                <w:color w:val="auto"/>
                <w:highlight w:val="none"/>
                <w:vertAlign w:val="baseline"/>
                <w:lang w:val="en-US" w:eastAsia="zh-CN"/>
              </w:rPr>
            </w:pPr>
            <w:r>
              <w:rPr>
                <w:rFonts w:hint="eastAsia"/>
                <w:b w:val="0"/>
                <w:bCs w:val="0"/>
                <w:color w:val="auto"/>
                <w:highlight w:val="none"/>
                <w:vertAlign w:val="baseline"/>
                <w:lang w:eastAsia="zh-CN"/>
              </w:rPr>
              <w:t>填写格式：</w:t>
            </w:r>
            <w:r>
              <w:rPr>
                <w:rFonts w:hint="eastAsia"/>
                <w:b w:val="0"/>
                <w:bCs w:val="0"/>
                <w:color w:val="auto"/>
                <w:highlight w:val="none"/>
                <w:vertAlign w:val="baseline"/>
                <w:lang w:val="en-US" w:eastAsia="zh-CN"/>
              </w:rPr>
              <w:t>序号+年月+比赛等级名称+指导学生+颁奖单位+参与名次+计分</w:t>
            </w:r>
          </w:p>
          <w:p w14:paraId="62E13BBD">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1）2017年5月，全国职业院校技能大赛高职组“大数据技术与应用”比赛三等奖，熊志唐、文小珍、向森森，全国职业院校技能大赛组织委员会，第一指导老师，计30分；</w:t>
            </w:r>
          </w:p>
          <w:p w14:paraId="1678D559">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2）2017年</w:t>
            </w: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月，湖南省职业院校技能竞赛“大数据技术与应用”比赛一等奖，熊志唐、文小珍、向森森，湖南省教育厅，第一指导老师，计25分；</w:t>
            </w:r>
          </w:p>
          <w:p w14:paraId="238A4E7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3）2018年1月，湖南省职业院校技能竞赛“大数据技术与应用”比赛一等奖，王麒、罗日程、蒋思远，湖南省职业院校技能大赛组织委员会，第一指导老师，计25分；</w:t>
            </w:r>
          </w:p>
          <w:p w14:paraId="28CE58A3">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4）2019年1月，湖南省职业院校技能竞赛“大数据技术与应用”比赛一等奖，罗日程、向家豪、刘斌，湖南省职业院校技能大赛组织委员会，第一指导老师，计25分；</w:t>
            </w:r>
          </w:p>
          <w:p w14:paraId="0B43CA4D">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5）2019年12月，湖南省职业院校技能竞赛“大数据技术与应用”比赛二等奖，王骄健、刘斌、马章轩，湖南省职业院校技能大赛组织委员会，第一指导老师，计10分；</w:t>
            </w:r>
          </w:p>
          <w:p w14:paraId="1687FA3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6）2021年12月，湖南省职业院校技能大赛“python程序开发”赛项三等奖，颜江光，湖南省职业院校技能大赛组织委员会，第一指导老师，计5分；</w:t>
            </w:r>
          </w:p>
          <w:p w14:paraId="61DD0B3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7）2023年12月，湖南省职业院校技能大赛“python程序开发”赛项三等奖，谭汉雄，湖南省职业院校技能大赛组织委员会，第一指导老师，计5分；</w:t>
            </w:r>
          </w:p>
          <w:p w14:paraId="3DB6A26B">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8）2019年12月，湖南省职业院校技能竞赛“人工智能技术与应用”比赛二等奖，谢俊、谢志强、黄河，湖南省职业院校技能大赛组织委员会，第二指导老师，计3分；</w:t>
            </w:r>
          </w:p>
          <w:p w14:paraId="622324FC">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9）2020年12月，湖南省职业院校技能竞赛“大数据技术与应用”比赛三等奖，尹江、郑首年、胡界，湖南省职业院校技能大赛组织委员会，第二指导老师，计1分；</w:t>
            </w:r>
          </w:p>
          <w:p w14:paraId="782631EC">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10）2023年3月，湖南省职业院校技能竞赛“大数据技术与应用”比赛三等奖，吴世有、唐涛、文升，湖南省职业院校技能大赛组织委员会，第二指导老师，计1分；</w:t>
            </w:r>
          </w:p>
          <w:p w14:paraId="2D35D3D2">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11）2018年4月，第九届蓝桥杯全国软件和信息技术专业人才大赛湖南赛区Java软件开发大学C组一等奖，刘斌，蓝桥杯全国软件和信息技术专业人才大赛</w:t>
            </w:r>
            <w:r>
              <w:rPr>
                <w:rFonts w:hint="eastAsia"/>
                <w:color w:val="000000" w:themeColor="text1"/>
                <w:szCs w:val="21"/>
                <w:highlight w:val="none"/>
                <w14:textFill>
                  <w14:solidFill>
                    <w14:schemeClr w14:val="tx1"/>
                  </w14:solidFill>
                </w14:textFill>
              </w:rPr>
              <w:t>组织委员会</w:t>
            </w:r>
            <w:r>
              <w:rPr>
                <w:rFonts w:hint="eastAsia"/>
                <w:color w:val="000000" w:themeColor="text1"/>
                <w:szCs w:val="21"/>
                <w:highlight w:val="none"/>
                <w:lang w:val="en-US" w:eastAsia="zh-CN"/>
                <w14:textFill>
                  <w14:solidFill>
                    <w14:schemeClr w14:val="tx1"/>
                  </w14:solidFill>
                </w14:textFill>
              </w:rPr>
              <w:t>，第一指导老师，计25分；</w:t>
            </w:r>
          </w:p>
          <w:p w14:paraId="6296F65E">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12）2018年4月，第九届蓝桥杯全国软件和信息技术专业人才大赛湖南赛区Java软件开发大学C组三等奖，向家豪，蓝桥杯全国软件和信息技术专业人才大赛</w:t>
            </w:r>
            <w:r>
              <w:rPr>
                <w:rFonts w:hint="eastAsia"/>
                <w:color w:val="000000" w:themeColor="text1"/>
                <w:szCs w:val="21"/>
                <w:highlight w:val="none"/>
                <w14:textFill>
                  <w14:solidFill>
                    <w14:schemeClr w14:val="tx1"/>
                  </w14:solidFill>
                </w14:textFill>
              </w:rPr>
              <w:t>组织委员会</w:t>
            </w:r>
            <w:r>
              <w:rPr>
                <w:rFonts w:hint="eastAsia"/>
                <w:color w:val="000000" w:themeColor="text1"/>
                <w:szCs w:val="21"/>
                <w:highlight w:val="none"/>
                <w:lang w:val="en-US" w:eastAsia="zh-CN"/>
                <w14:textFill>
                  <w14:solidFill>
                    <w14:schemeClr w14:val="tx1"/>
                  </w14:solidFill>
                </w14:textFill>
              </w:rPr>
              <w:t>，第一指导老师，计5分；</w:t>
            </w:r>
          </w:p>
        </w:tc>
        <w:tc>
          <w:tcPr>
            <w:tcW w:w="1200" w:type="dxa"/>
            <w:vAlign w:val="center"/>
          </w:tcPr>
          <w:p w14:paraId="15CE25DF">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160</w:t>
            </w:r>
          </w:p>
        </w:tc>
        <w:tc>
          <w:tcPr>
            <w:tcW w:w="1274" w:type="dxa"/>
            <w:vAlign w:val="center"/>
          </w:tcPr>
          <w:p w14:paraId="3A706BB4">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130</w:t>
            </w:r>
          </w:p>
        </w:tc>
        <w:tc>
          <w:tcPr>
            <w:tcW w:w="2331" w:type="dxa"/>
            <w:vAlign w:val="center"/>
          </w:tcPr>
          <w:p w14:paraId="26D2A0B3">
            <w:pPr>
              <w:adjustRightInd w:val="0"/>
              <w:snapToGrid w:val="0"/>
              <w:spacing w:line="276" w:lineRule="auto"/>
              <w:jc w:val="center"/>
              <w:rPr>
                <w:color w:val="A6A6A6" w:themeColor="background1" w:themeShade="A6"/>
                <w:szCs w:val="21"/>
                <w:highlight w:val="none"/>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highlight w:val="none"/>
              </w:rPr>
            </w:pPr>
          </w:p>
        </w:tc>
        <w:tc>
          <w:tcPr>
            <w:tcW w:w="1163" w:type="dxa"/>
            <w:vMerge w:val="continue"/>
            <w:vAlign w:val="center"/>
          </w:tcPr>
          <w:p w14:paraId="0EC9BFDA">
            <w:pPr>
              <w:adjustRightInd w:val="0"/>
              <w:snapToGrid w:val="0"/>
              <w:spacing w:line="276" w:lineRule="auto"/>
              <w:jc w:val="center"/>
              <w:rPr>
                <w:szCs w:val="21"/>
                <w:highlight w:val="none"/>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558ED5" w:themeColor="text2" w:themeTint="99"/>
                <w:szCs w:val="21"/>
                <w:highlight w:val="none"/>
                <w14:textFill>
                  <w14:solidFill>
                    <w14:schemeClr w14:val="tx2">
                      <w14:lumMod w14:val="60000"/>
                      <w14:lumOff w14:val="40000"/>
                    </w14:schemeClr>
                  </w14:solidFill>
                </w14:textFill>
              </w:rPr>
              <w:t>3-6-2</w:t>
            </w:r>
            <w:r>
              <w:rPr>
                <w:rFonts w:hint="eastAsia" w:eastAsia="宋体"/>
                <w:color w:val="4F81BD" w:themeColor="accent1"/>
                <w:szCs w:val="21"/>
                <w:highlight w:val="none"/>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45C5967A">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4AF7D7B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highlight w:val="none"/>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highlight w:val="none"/>
              </w:rPr>
            </w:pPr>
          </w:p>
        </w:tc>
        <w:tc>
          <w:tcPr>
            <w:tcW w:w="1163" w:type="dxa"/>
            <w:vMerge w:val="continue"/>
            <w:vAlign w:val="center"/>
          </w:tcPr>
          <w:p w14:paraId="2E2EFC13">
            <w:pPr>
              <w:adjustRightInd w:val="0"/>
              <w:snapToGrid w:val="0"/>
              <w:spacing w:line="276" w:lineRule="auto"/>
              <w:jc w:val="center"/>
              <w:rPr>
                <w:rFonts w:hint="eastAsia"/>
                <w:szCs w:val="21"/>
                <w:highlight w:val="none"/>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558ED5" w:themeColor="text2" w:themeTint="99"/>
                <w:szCs w:val="21"/>
                <w:highlight w:val="none"/>
                <w14:textFill>
                  <w14:solidFill>
                    <w14:schemeClr w14:val="tx2">
                      <w14:lumMod w14:val="60000"/>
                      <w14:lumOff w14:val="40000"/>
                    </w14:schemeClr>
                  </w14:solidFill>
                </w14:textFill>
              </w:rPr>
              <w:t>3-6-3</w:t>
            </w: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指</w:t>
            </w:r>
            <w:r>
              <w:rPr>
                <w:rFonts w:hint="eastAsia" w:eastAsia="宋体"/>
                <w:color w:val="4F81BD" w:themeColor="accent1"/>
                <w:szCs w:val="21"/>
                <w:highlight w:val="none"/>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default"/>
                <w:color w:val="000000" w:themeColor="text1"/>
                <w:szCs w:val="21"/>
                <w:highlight w:val="none"/>
                <w:lang w:val="en-US"/>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39227B63">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7B87ECAA">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highlight w:val="none"/>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highlight w:val="none"/>
              </w:rPr>
            </w:pPr>
          </w:p>
        </w:tc>
        <w:tc>
          <w:tcPr>
            <w:tcW w:w="1163" w:type="dxa"/>
            <w:vMerge w:val="continue"/>
            <w:vAlign w:val="center"/>
          </w:tcPr>
          <w:p w14:paraId="40D3FD72">
            <w:pPr>
              <w:adjustRightInd w:val="0"/>
              <w:snapToGrid w:val="0"/>
              <w:spacing w:line="276" w:lineRule="auto"/>
              <w:jc w:val="center"/>
              <w:rPr>
                <w:rFonts w:hint="eastAsia" w:eastAsia="宋体"/>
                <w:szCs w:val="21"/>
                <w:highlight w:val="none"/>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558ED5" w:themeColor="text2" w:themeTint="99"/>
                <w:szCs w:val="21"/>
                <w:highlight w:val="none"/>
                <w14:textFill>
                  <w14:solidFill>
                    <w14:schemeClr w14:val="tx2">
                      <w14:lumMod w14:val="60000"/>
                      <w14:lumOff w14:val="40000"/>
                    </w14:schemeClr>
                  </w14:solidFill>
                </w14:textFill>
              </w:rPr>
              <w:t>3-6-</w:t>
            </w: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4</w:t>
            </w:r>
            <w:r>
              <w:rPr>
                <w:rFonts w:hint="eastAsia" w:eastAsia="宋体"/>
                <w:color w:val="4F81BD" w:themeColor="accent1"/>
                <w:szCs w:val="21"/>
                <w:highlight w:val="none"/>
                <w:lang w:val="en-US" w:eastAsia="zh-CN"/>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67755DF1">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28364C51">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highlight w:val="none"/>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highlight w:val="none"/>
              </w:rPr>
            </w:pPr>
          </w:p>
        </w:tc>
        <w:tc>
          <w:tcPr>
            <w:tcW w:w="1163" w:type="dxa"/>
            <w:vAlign w:val="center"/>
          </w:tcPr>
          <w:p w14:paraId="66F924DF">
            <w:pPr>
              <w:adjustRightInd w:val="0"/>
              <w:snapToGrid w:val="0"/>
              <w:spacing w:line="276" w:lineRule="auto"/>
              <w:jc w:val="center"/>
              <w:rPr>
                <w:szCs w:val="21"/>
                <w:highlight w:val="none"/>
              </w:rPr>
            </w:pPr>
            <w:r>
              <w:rPr>
                <w:rFonts w:hint="eastAsia"/>
                <w:szCs w:val="21"/>
                <w:highlight w:val="none"/>
              </w:rPr>
              <w:t>3-7</w:t>
            </w:r>
          </w:p>
        </w:tc>
        <w:tc>
          <w:tcPr>
            <w:tcW w:w="14536" w:type="dxa"/>
            <w:gridSpan w:val="10"/>
            <w:vAlign w:val="center"/>
          </w:tcPr>
          <w:p w14:paraId="4E9A9FA1">
            <w:pPr>
              <w:adjustRightInd w:val="0"/>
              <w:snapToGrid w:val="0"/>
              <w:spacing w:line="276" w:lineRule="auto"/>
              <w:rPr>
                <w:color w:val="000000" w:themeColor="text1"/>
                <w:szCs w:val="21"/>
                <w:highlight w:val="none"/>
                <w14:textFill>
                  <w14:solidFill>
                    <w14:schemeClr w14:val="tx1"/>
                  </w14:solidFill>
                </w14:textFill>
              </w:rPr>
            </w:pPr>
            <w:r>
              <w:rPr>
                <w:rFonts w:hint="eastAsia" w:eastAsia="宋体"/>
                <w:color w:val="4F81BD" w:themeColor="accent1"/>
                <w:szCs w:val="21"/>
                <w:highlight w:val="none"/>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highlight w:val="none"/>
              </w:rPr>
            </w:pPr>
            <w:r>
              <w:rPr>
                <w:rFonts w:hint="eastAsia"/>
                <w:szCs w:val="21"/>
                <w:highlight w:val="none"/>
              </w:rPr>
              <w:t>-</w:t>
            </w:r>
          </w:p>
        </w:tc>
        <w:tc>
          <w:tcPr>
            <w:tcW w:w="1274" w:type="dxa"/>
            <w:vAlign w:val="center"/>
          </w:tcPr>
          <w:p w14:paraId="25411A8F">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73D7ED06">
            <w:pPr>
              <w:adjustRightInd w:val="0"/>
              <w:snapToGrid w:val="0"/>
              <w:spacing w:line="276" w:lineRule="auto"/>
              <w:jc w:val="center"/>
              <w:rPr>
                <w:color w:val="A6A6A6" w:themeColor="background1" w:themeShade="A6"/>
                <w:szCs w:val="21"/>
                <w:highlight w:val="none"/>
              </w:rPr>
            </w:pPr>
            <w:r>
              <w:rPr>
                <w:rFonts w:hint="eastAsia"/>
                <w:color w:val="A6A6A6" w:themeColor="background1" w:themeShade="A6"/>
                <w:szCs w:val="21"/>
                <w:highlight w:val="none"/>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highlight w:val="none"/>
              </w:rPr>
            </w:pPr>
            <w:r>
              <w:rPr>
                <w:rFonts w:hint="eastAsia"/>
                <w:b/>
                <w:szCs w:val="21"/>
                <w:highlight w:val="none"/>
              </w:rPr>
              <w:t>4.科研成果及业绩</w:t>
            </w:r>
          </w:p>
        </w:tc>
        <w:tc>
          <w:tcPr>
            <w:tcW w:w="1163" w:type="dxa"/>
            <w:vAlign w:val="center"/>
          </w:tcPr>
          <w:p w14:paraId="62D5468F">
            <w:pPr>
              <w:adjustRightInd w:val="0"/>
              <w:snapToGrid w:val="0"/>
              <w:spacing w:line="276" w:lineRule="auto"/>
              <w:jc w:val="center"/>
              <w:rPr>
                <w:rFonts w:hint="eastAsia"/>
                <w:szCs w:val="21"/>
                <w:highlight w:val="none"/>
              </w:rPr>
            </w:pPr>
            <w:r>
              <w:rPr>
                <w:rFonts w:hint="eastAsia"/>
                <w:szCs w:val="21"/>
                <w:highlight w:val="none"/>
              </w:rPr>
              <w:t>4-1</w:t>
            </w:r>
          </w:p>
          <w:p w14:paraId="33A03636">
            <w:pPr>
              <w:adjustRightInd w:val="0"/>
              <w:snapToGrid w:val="0"/>
              <w:spacing w:line="276" w:lineRule="auto"/>
              <w:jc w:val="center"/>
              <w:rPr>
                <w:rFonts w:hint="eastAsia"/>
                <w:szCs w:val="21"/>
                <w:highlight w:val="none"/>
              </w:rPr>
            </w:pPr>
            <w:r>
              <w:rPr>
                <w:rFonts w:hint="eastAsia"/>
                <w:color w:val="auto"/>
                <w:sz w:val="16"/>
                <w:szCs w:val="16"/>
                <w:highlight w:val="none"/>
                <w:lang w:val="en-US" w:eastAsia="zh-CN"/>
              </w:rPr>
              <w:t>（注意计分封顶）</w:t>
            </w:r>
          </w:p>
        </w:tc>
        <w:tc>
          <w:tcPr>
            <w:tcW w:w="14536" w:type="dxa"/>
            <w:gridSpan w:val="10"/>
            <w:vAlign w:val="center"/>
          </w:tcPr>
          <w:p w14:paraId="1C657129">
            <w:pPr>
              <w:adjustRightInd w:val="0"/>
              <w:snapToGrid w:val="0"/>
              <w:spacing w:line="276" w:lineRule="auto"/>
              <w:rPr>
                <w:color w:val="auto"/>
                <w:szCs w:val="21"/>
                <w:highlight w:val="none"/>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学术期刊论文</w:t>
            </w:r>
            <w:r>
              <w:rPr>
                <w:color w:val="558ED5" w:themeColor="text2" w:themeTint="99"/>
                <w:szCs w:val="21"/>
                <w:highlight w:val="none"/>
                <w14:textFill>
                  <w14:solidFill>
                    <w14:schemeClr w14:val="tx2">
                      <w14:lumMod w14:val="60000"/>
                      <w14:lumOff w14:val="40000"/>
                    </w14:schemeClr>
                  </w14:solidFill>
                </w14:textFill>
              </w:rPr>
              <w:t>（</w:t>
            </w:r>
            <w:r>
              <w:rPr>
                <w:rFonts w:hint="eastAsia"/>
                <w:color w:val="auto"/>
                <w:szCs w:val="21"/>
                <w:highlight w:val="none"/>
              </w:rPr>
              <w:t>请按量化计分细则论文分类填写）：</w:t>
            </w:r>
          </w:p>
          <w:p w14:paraId="28F8D222">
            <w:pPr>
              <w:numPr>
                <w:ilvl w:val="0"/>
                <w:numId w:val="0"/>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[1]刘艳,赵明,马萌,等.基于图卷积的注意力聚焦时空融合人体活动识别研究[J].传感技术学报,2025,38(04):695-704.（CSCD来源扩展库期刊）；计28分</w:t>
            </w:r>
          </w:p>
          <w:p w14:paraId="49B09C01">
            <w:pPr>
              <w:numPr>
                <w:ilvl w:val="0"/>
                <w:numId w:val="0"/>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[2]刘艳.高职教育背景下在线开放课程的建设研究-以《Python程序设计基础》课程为例[J].科技资讯,2020,18(11):75-76.（省级学术论文）；计5分</w:t>
            </w:r>
          </w:p>
          <w:p w14:paraId="17FB7FD4">
            <w:pPr>
              <w:numPr>
                <w:ilvl w:val="0"/>
                <w:numId w:val="0"/>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[3]刘艳.泛在学习背景下湖南省高职专业教学资源库建设研究[J].科教导刊(中旬刊),2020,(32):16-17+88.（省级学术论文）；计5分</w:t>
            </w:r>
          </w:p>
          <w:p w14:paraId="43737A02">
            <w:pPr>
              <w:numPr>
                <w:ilvl w:val="0"/>
                <w:numId w:val="0"/>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[4]刘艳.泛在学习背景下高职教师网络云空间应用能力培养研究[J].数字通信世界,2020,(04):242.（省级学术论文）；计5分</w:t>
            </w:r>
          </w:p>
          <w:p w14:paraId="003E4119">
            <w:pPr>
              <w:numPr>
                <w:ilvl w:val="0"/>
                <w:numId w:val="0"/>
              </w:num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[5]刘艳,刘人杰.移动信息技术在课程教学中的应用研究[J].科技资讯,2019,17(29):104-105.（省级学术论文）；计3.5分</w:t>
            </w:r>
          </w:p>
        </w:tc>
        <w:tc>
          <w:tcPr>
            <w:tcW w:w="1200" w:type="dxa"/>
            <w:vAlign w:val="center"/>
          </w:tcPr>
          <w:p w14:paraId="4BD3B064">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46.5</w:t>
            </w:r>
          </w:p>
        </w:tc>
        <w:tc>
          <w:tcPr>
            <w:tcW w:w="1274" w:type="dxa"/>
            <w:vAlign w:val="center"/>
          </w:tcPr>
          <w:p w14:paraId="374D219A">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46.5</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highlight w:val="none"/>
              </w:rPr>
            </w:pPr>
          </w:p>
        </w:tc>
        <w:tc>
          <w:tcPr>
            <w:tcW w:w="1163" w:type="dxa"/>
            <w:vAlign w:val="center"/>
          </w:tcPr>
          <w:p w14:paraId="501AB396">
            <w:pPr>
              <w:adjustRightInd w:val="0"/>
              <w:snapToGrid w:val="0"/>
              <w:spacing w:line="276" w:lineRule="auto"/>
              <w:jc w:val="center"/>
              <w:rPr>
                <w:szCs w:val="21"/>
                <w:highlight w:val="none"/>
              </w:rPr>
            </w:pPr>
            <w:r>
              <w:rPr>
                <w:rFonts w:hint="eastAsia"/>
                <w:szCs w:val="21"/>
                <w:highlight w:val="none"/>
              </w:rPr>
              <w:t>4-2</w:t>
            </w:r>
          </w:p>
        </w:tc>
        <w:tc>
          <w:tcPr>
            <w:tcW w:w="14536" w:type="dxa"/>
            <w:gridSpan w:val="10"/>
            <w:vAlign w:val="center"/>
          </w:tcPr>
          <w:p w14:paraId="36B2AC4A">
            <w:pPr>
              <w:adjustRightInd w:val="0"/>
              <w:snapToGrid w:val="0"/>
              <w:spacing w:line="276" w:lineRule="auto"/>
              <w:rPr>
                <w:rFonts w:hint="eastAsia" w:eastAsia="宋体"/>
                <w:color w:val="auto"/>
                <w:szCs w:val="21"/>
                <w:highlight w:val="none"/>
                <w:lang w:val="en-US" w:eastAsia="zh-CN"/>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4-2-1学术著作</w:t>
            </w:r>
            <w:r>
              <w:rPr>
                <w:rFonts w:hint="eastAsia" w:eastAsia="宋体"/>
                <w:color w:val="auto"/>
                <w:szCs w:val="21"/>
                <w:highlight w:val="none"/>
                <w:lang w:val="en-US" w:eastAsia="zh-CN"/>
              </w:rPr>
              <w:t>（学术专著、编著和译著）：</w:t>
            </w:r>
          </w:p>
          <w:p w14:paraId="3E754F0B">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eastAsia"/>
                <w:color w:val="auto"/>
                <w:szCs w:val="21"/>
                <w:highlight w:val="none"/>
              </w:rPr>
            </w:pPr>
            <w:r>
              <w:rPr>
                <w:rFonts w:hint="eastAsia"/>
                <w:color w:val="auto"/>
                <w:szCs w:val="21"/>
                <w:highlight w:val="none"/>
                <w:lang w:val="en-US" w:eastAsia="zh-CN"/>
              </w:rPr>
              <w:t>1</w:t>
            </w:r>
            <w:r>
              <w:rPr>
                <w:rFonts w:hint="eastAsia" w:ascii="宋体" w:hAnsi="宋体" w:cs="宋体"/>
                <w:highlight w:val="none"/>
                <w:lang w:val="en-US" w:eastAsia="zh-CN"/>
              </w:rPr>
              <w:t>.</w:t>
            </w:r>
            <w:r>
              <w:rPr>
                <w:rFonts w:hint="eastAsia" w:ascii="宋体" w:hAnsi="宋体" w:eastAsia="宋体" w:cs="宋体"/>
                <w:highlight w:val="none"/>
                <w:lang w:val="en-US" w:eastAsia="zh-CN"/>
              </w:rPr>
              <w:t>主编：银奕淇，欧迪巧，</w:t>
            </w:r>
            <w:r>
              <w:rPr>
                <w:rFonts w:hint="eastAsia" w:ascii="宋体" w:hAnsi="宋体" w:cs="宋体"/>
                <w:highlight w:val="none"/>
                <w:lang w:val="en-US" w:eastAsia="zh-CN"/>
              </w:rPr>
              <w:t>刘艳，陆燕</w:t>
            </w:r>
            <w:r>
              <w:rPr>
                <w:rFonts w:hint="eastAsia" w:ascii="宋体" w:hAnsi="宋体" w:eastAsia="宋体" w:cs="宋体"/>
                <w:highlight w:val="none"/>
                <w:lang w:val="en-US" w:eastAsia="zh-CN"/>
              </w:rPr>
              <w:t>，“数字湖南”视野下高职物联网应用技术专业建设研究，湖北科学技术出版社（非国家级出版社），320千字，2017；计</w:t>
            </w:r>
            <w:r>
              <w:rPr>
                <w:rFonts w:hint="eastAsia" w:ascii="宋体" w:hAnsi="宋体" w:cs="宋体"/>
                <w:highlight w:val="none"/>
                <w:lang w:val="en-US" w:eastAsia="zh-CN"/>
              </w:rPr>
              <w:t>4.</w:t>
            </w:r>
            <w:r>
              <w:rPr>
                <w:rFonts w:hint="eastAsia" w:ascii="宋体" w:hAnsi="宋体" w:eastAsia="宋体" w:cs="宋体"/>
                <w:highlight w:val="none"/>
                <w:lang w:val="en-US" w:eastAsia="zh-CN"/>
              </w:rPr>
              <w:t>5分</w:t>
            </w:r>
          </w:p>
        </w:tc>
        <w:tc>
          <w:tcPr>
            <w:tcW w:w="1200" w:type="dxa"/>
            <w:vAlign w:val="center"/>
          </w:tcPr>
          <w:p w14:paraId="4E400331">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4.5</w:t>
            </w:r>
          </w:p>
        </w:tc>
        <w:tc>
          <w:tcPr>
            <w:tcW w:w="1274" w:type="dxa"/>
            <w:vAlign w:val="center"/>
          </w:tcPr>
          <w:p w14:paraId="5A2B9D2B">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4.5</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highlight w:val="none"/>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highlight w:val="none"/>
              </w:rPr>
            </w:pPr>
          </w:p>
        </w:tc>
        <w:tc>
          <w:tcPr>
            <w:tcW w:w="1163" w:type="dxa"/>
            <w:vMerge w:val="restart"/>
            <w:vAlign w:val="center"/>
          </w:tcPr>
          <w:p w14:paraId="3ECA733F">
            <w:pPr>
              <w:adjustRightInd w:val="0"/>
              <w:snapToGrid w:val="0"/>
              <w:spacing w:line="276" w:lineRule="auto"/>
              <w:jc w:val="center"/>
              <w:rPr>
                <w:rFonts w:hint="eastAsia"/>
                <w:szCs w:val="21"/>
                <w:highlight w:val="none"/>
              </w:rPr>
            </w:pPr>
            <w:r>
              <w:rPr>
                <w:rFonts w:hint="eastAsia"/>
                <w:szCs w:val="21"/>
                <w:highlight w:val="none"/>
              </w:rPr>
              <w:t>4-3</w:t>
            </w:r>
          </w:p>
          <w:p w14:paraId="0C3F595A">
            <w:pPr>
              <w:adjustRightInd w:val="0"/>
              <w:snapToGrid w:val="0"/>
              <w:spacing w:line="276" w:lineRule="auto"/>
              <w:jc w:val="center"/>
              <w:rPr>
                <w:szCs w:val="21"/>
                <w:highlight w:val="none"/>
              </w:rPr>
            </w:pPr>
            <w:r>
              <w:rPr>
                <w:rFonts w:hint="eastAsia"/>
                <w:color w:val="auto"/>
                <w:sz w:val="16"/>
                <w:szCs w:val="16"/>
                <w:highlight w:val="none"/>
                <w:lang w:val="en-US" w:eastAsia="zh-CN"/>
              </w:rPr>
              <w:t>（注意计分封顶）</w:t>
            </w:r>
          </w:p>
        </w:tc>
        <w:tc>
          <w:tcPr>
            <w:tcW w:w="14536" w:type="dxa"/>
            <w:gridSpan w:val="10"/>
            <w:vAlign w:val="center"/>
          </w:tcPr>
          <w:p w14:paraId="694ECFAD">
            <w:pPr>
              <w:adjustRightInd w:val="0"/>
              <w:snapToGrid w:val="0"/>
              <w:spacing w:line="276" w:lineRule="auto"/>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4-3-1原创作品、产品</w:t>
            </w:r>
          </w:p>
          <w:p w14:paraId="6F6809B6">
            <w:pPr>
              <w:adjustRightInd w:val="0"/>
              <w:snapToGrid w:val="0"/>
              <w:spacing w:line="276" w:lineRule="auto"/>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auto"/>
                <w:szCs w:val="21"/>
                <w:highlight w:val="none"/>
                <w:lang w:val="en-US" w:eastAsia="zh-CN"/>
              </w:rPr>
              <w:t>无</w:t>
            </w:r>
          </w:p>
        </w:tc>
        <w:tc>
          <w:tcPr>
            <w:tcW w:w="1200" w:type="dxa"/>
            <w:vAlign w:val="center"/>
          </w:tcPr>
          <w:p w14:paraId="46AE610D">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Merge w:val="restart"/>
            <w:vAlign w:val="center"/>
          </w:tcPr>
          <w:p w14:paraId="1D2909C3">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highlight w:val="none"/>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highlight w:val="none"/>
              </w:rPr>
            </w:pPr>
          </w:p>
        </w:tc>
        <w:tc>
          <w:tcPr>
            <w:tcW w:w="1163" w:type="dxa"/>
            <w:vMerge w:val="continue"/>
            <w:vAlign w:val="center"/>
          </w:tcPr>
          <w:p w14:paraId="5C681B9A">
            <w:pPr>
              <w:adjustRightInd w:val="0"/>
              <w:snapToGrid w:val="0"/>
              <w:spacing w:line="276" w:lineRule="auto"/>
              <w:jc w:val="center"/>
              <w:rPr>
                <w:szCs w:val="21"/>
                <w:highlight w:val="none"/>
              </w:rPr>
            </w:pPr>
          </w:p>
        </w:tc>
        <w:tc>
          <w:tcPr>
            <w:tcW w:w="14536" w:type="dxa"/>
            <w:gridSpan w:val="10"/>
            <w:vAlign w:val="center"/>
          </w:tcPr>
          <w:p w14:paraId="4099FE62">
            <w:pPr>
              <w:adjustRightInd w:val="0"/>
              <w:snapToGrid w:val="0"/>
              <w:spacing w:line="276" w:lineRule="auto"/>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4-3-2非原创作品、产品</w:t>
            </w:r>
          </w:p>
          <w:p w14:paraId="7A0A9A00">
            <w:pPr>
              <w:adjustRightInd w:val="0"/>
              <w:snapToGrid w:val="0"/>
              <w:spacing w:line="276" w:lineRule="auto"/>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auto"/>
                <w:szCs w:val="21"/>
                <w:highlight w:val="none"/>
                <w:lang w:val="en-US" w:eastAsia="zh-CN"/>
              </w:rPr>
              <w:t>无</w:t>
            </w:r>
          </w:p>
        </w:tc>
        <w:tc>
          <w:tcPr>
            <w:tcW w:w="1200" w:type="dxa"/>
            <w:vAlign w:val="center"/>
          </w:tcPr>
          <w:p w14:paraId="40ED6E66">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Merge w:val="continue"/>
            <w:vAlign w:val="center"/>
          </w:tcPr>
          <w:p w14:paraId="1D49F3C3">
            <w:pPr>
              <w:adjustRightInd w:val="0"/>
              <w:snapToGrid w:val="0"/>
              <w:spacing w:line="276" w:lineRule="auto"/>
              <w:jc w:val="center"/>
              <w:rPr>
                <w:color w:val="auto"/>
                <w:szCs w:val="21"/>
                <w:highlight w:val="none"/>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highlight w:val="none"/>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highlight w:val="none"/>
              </w:rPr>
            </w:pPr>
          </w:p>
        </w:tc>
        <w:tc>
          <w:tcPr>
            <w:tcW w:w="1163" w:type="dxa"/>
            <w:vAlign w:val="center"/>
          </w:tcPr>
          <w:p w14:paraId="575EEDF5">
            <w:pPr>
              <w:adjustRightInd w:val="0"/>
              <w:snapToGrid w:val="0"/>
              <w:spacing w:line="276" w:lineRule="auto"/>
              <w:jc w:val="center"/>
              <w:rPr>
                <w:rFonts w:hint="default" w:eastAsia="宋体"/>
                <w:szCs w:val="21"/>
                <w:highlight w:val="none"/>
                <w:lang w:val="en-US" w:eastAsia="zh-CN"/>
              </w:rPr>
            </w:pPr>
            <w:r>
              <w:rPr>
                <w:rFonts w:hint="eastAsia"/>
                <w:szCs w:val="21"/>
                <w:highlight w:val="none"/>
              </w:rPr>
              <w:t>4-4</w:t>
            </w:r>
            <w:r>
              <w:rPr>
                <w:rFonts w:hint="eastAsia"/>
                <w:szCs w:val="21"/>
                <w:highlight w:val="none"/>
                <w:lang w:val="en-US" w:eastAsia="zh-CN"/>
              </w:rPr>
              <w:t>-1</w:t>
            </w:r>
          </w:p>
          <w:p w14:paraId="360AAF94">
            <w:pPr>
              <w:adjustRightInd w:val="0"/>
              <w:snapToGrid w:val="0"/>
              <w:spacing w:line="276" w:lineRule="auto"/>
              <w:jc w:val="center"/>
              <w:rPr>
                <w:rFonts w:hint="eastAsia"/>
                <w:szCs w:val="21"/>
                <w:highlight w:val="none"/>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纵向科研项目（含科研、教改等项目）</w:t>
            </w:r>
          </w:p>
          <w:p w14:paraId="1FB03D3D">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[1]刘艳，湖南省教育科学规划课题“十四五“规划省级一般资助，XJK21BZJ027，基于岗位胜任素质的高职大数据专业在线课程建设研究，2021年6月-至今，2万，在研，主持；计21分；</w:t>
            </w:r>
          </w:p>
          <w:p w14:paraId="782ED911">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[2]刘艳，湖南省教育科学规划课题“十三五“规划省级一般资助，XJK016BXX005，泛在学习背景下湖南省高职教师云空间应用能力培养与创新，2016年5月-2020年12月，2万，结题，主持；计35分</w:t>
            </w:r>
          </w:p>
          <w:p w14:paraId="2801DA09">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[3]刘艳，湖南省教育厅“职教高地建设”项目，ZJGD2021024，“三高四新”背景下职业教育专业教学资源库建设与应用研究，2021年9月-2022年10月，1.2万，结题，主持；计35分</w:t>
            </w:r>
          </w:p>
          <w:p w14:paraId="33BF8D06">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[4]刘艳，湖南省教育教学改革研究一般项目，ZJGB2019123，一流特色专业群背景下大数据专业教学资源库建设与实践研究，2019年9月-2022年9月，2万，结题，主持；计14分</w:t>
            </w:r>
          </w:p>
          <w:p w14:paraId="5D6F9D5E">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[5]刘艳，湖南省教育教学改革研究青年专项，ZJC2013039，基于职教新干线空间平台的课程交互式习题库和智能评价系统的研究，2013年8月-2016年8月，2万，结题，主持；计5.6分</w:t>
            </w:r>
          </w:p>
          <w:p w14:paraId="2DBBBF8D">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[6]刘艳，湖南省社区教育教学改革项目，ZJGB2019123，积极老龄化背景下高职教育与老年教育融合的路径与实践应用，2024年3月-至今，2万，在研，主持；计8.4分；</w:t>
            </w:r>
          </w:p>
          <w:p w14:paraId="6E8E9602">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[7]刘艳，湖南省教育信息化创新应用十百千万工程，湖南省教师信息化教学应用示范网络学习空间项目（直接认定），2015年7月，1万，结题，主持；计20分；</w:t>
            </w:r>
          </w:p>
          <w:p w14:paraId="14949335">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[8]刘艳，湖南省职业教育信息化教学应用试点项目，名师空间课堂，2014年6月-2015年6月，5万，结题，主持；计8分；</w:t>
            </w:r>
          </w:p>
          <w:p w14:paraId="26D89FDD">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[9]刘艳，长沙市哲学社会科学规划课题，2025CSSKKT136，基于大数据驱动的长沙市老年教育评价机制研究，2025年4月-至今，0.6万，在研，主持；计6.3分</w:t>
            </w:r>
          </w:p>
          <w:p w14:paraId="0BE8B33E">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[10]刘艳，湖南开放大学重点课题，XDK-2023-A-1，高职教育产业学院建设研究，2023年11月-至今，2万，在研，主持；计4.2分</w:t>
            </w:r>
          </w:p>
          <w:p w14:paraId="35CCDCF6">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[11]刘艳，湖南广播电视大学一般课题，XDK2013-C-16，课程交互式习题库及智能评价系统的研究，2013年7月-2017年6月，0.3万，结题，主持；计1.4分</w:t>
            </w:r>
          </w:p>
          <w:p w14:paraId="2A0BD910">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[11]银奕淇，教育部人文社会科学研究项目青年项目，18YJC88010，职业院校混合所有制改革的风险管理研究，2018年8月-2025年3月，16万元，结题，排名第三；计9分</w:t>
            </w:r>
          </w:p>
          <w:p w14:paraId="6EF437DE">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[12]刘冠群，湖南省职业院校教育教学改革研究项目，ZJC2012029，基于工作室的校企循环互动高端技能型软件人才培养模式探讨与实践，2012年8月-2016年8月，2万，结题，排名第二；计0.72分</w:t>
            </w:r>
          </w:p>
          <w:p w14:paraId="5F2AB8F9">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[13]银奕淇，湖南省哲学社会科学基金一般项目，16YBG029，“中国智造”背景下湖南高职院校混合所有制改革创新研究，2016/6-2022/1，4万元，结项，排名第五；计1.5分</w:t>
            </w:r>
          </w:p>
          <w:p w14:paraId="5B03C1A3">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[14]银奕淇，湖南省职业院校教育教学改革项目重点项目，ZJZD20200100，高等学历继续教育服务管理平台建设与应用研究，2020/11-2024/7，16万元，结项，排名第四；计1.8分</w:t>
            </w:r>
          </w:p>
          <w:p w14:paraId="341457C9">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[15]马萌，湖南省教育科学“十四五”规划2022年度课题，XJK22CZY001，基于“岗课赛证”融通模式的高职大数据技术专业在线课程实施优化路径研究，2022/5-2024/9，1万元，结题，排名第三，计1.8分</w:t>
            </w:r>
          </w:p>
          <w:p w14:paraId="76C82519">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[16]马萌，长沙市哲学社会科学规划课题，2023CSSKKT119，长沙市高职院校“双师型”教师队伍高质量建设研究，2023年5月-2024年4月，0.6万，结题，排名第二；计1.8分</w:t>
            </w:r>
          </w:p>
          <w:p w14:paraId="15246915">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[17]马萌，湖南开放大学一般课题，XDK-2023-C-15，基于深度学习算法的线上学习资源个性化推荐研究，2023年11月-至今，0.6万，在研，排名第二；计0.36分</w:t>
            </w:r>
          </w:p>
          <w:p w14:paraId="174ECAAB">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[19]马萌，湖南开放大学一般课题，XDK2021-C-6，提质培优背景下高职学生在线学习力提升策略及应用研究，2021年12月-2023年6月，0.3万，结题，排名第二；计0.6分</w:t>
            </w:r>
          </w:p>
          <w:p w14:paraId="24B20D13">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[20]马萌，湖南广播电视大学一般课题，XDK2019-C-24，基于自组织学习的高职大数据技术与应用专业岗位核心技能提升研究，2019年11月-2020年7月，0.3万，结题，排名第二；计0.75分</w:t>
            </w:r>
          </w:p>
          <w:p w14:paraId="7CD7E403">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[21]银奕淇，湖南省社会科学成果评审委员会项目一般项目，XSPYBZCO19，新常态下湖南高职院校混合所有制办学改革制度保障体系研究，2016/6-2021/4，0.6万元，结项，排名第五；计0.9分</w:t>
            </w:r>
          </w:p>
          <w:p w14:paraId="42E6C46B">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[22]赵明，湖南省社科基金教育学专项课题，XSJ17B13，现代学徒制背景下“企业师傅”资格认证标准研究，2017年4月-2020年12月，2万，结题，排名第三；计3分</w:t>
            </w:r>
          </w:p>
          <w:p w14:paraId="112EEC40">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[23]赵明，湖南省社会科学成果评审课题，XSPYBZ56，产教融合视域下职业教育现场工程师培养标准体系研究，2024年2月-2024年11月，2万，结题，排名第二；计2.7分</w:t>
            </w:r>
          </w:p>
          <w:p w14:paraId="24CA05B8">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[24]赵明，长沙市哲学社会科学规划课题，2024CSSKKT123，现场工程师助推长沙市国家重要先进制造业高地建设研究，2024年5月-2025年3月，0.6万，结题，排名第四；计0.45分</w:t>
            </w:r>
          </w:p>
          <w:p w14:paraId="00EDDCB2">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[25]钟慧，湖南省教育科学“十四五”规划课题，XJKBCR001，湖南老年教育机构区域共建共享模式研究，2024年6月，2万，在研，排名第三；计2.7分</w:t>
            </w:r>
          </w:p>
          <w:p w14:paraId="5074F0A8">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[26]刘芳，湖南省教育教学改革研究一般项目，ZJGB2023203，基于学习者画像的高职大数据技术专业学生职业能力提升路径研究，2万，在研，排名第二；计1.44分</w:t>
            </w:r>
          </w:p>
          <w:p w14:paraId="3FD97101">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[27]陆燕，湖南省教育科学“十三五”规划课题，XJK7BXX003，基于大数据的高职学生在线学习测评模型研究，2万，结题，排名第五；计1.5分</w:t>
            </w:r>
          </w:p>
          <w:p w14:paraId="53F90AC8">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[28]陈彩华，湖南省自然科学基金项目，2025JJ80362，基于深度学习的多模态在线学习情感识别研究，2025年-2027年，10万，在研，排名第四；计1.8分</w:t>
            </w:r>
          </w:p>
          <w:p w14:paraId="5AC842D6">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[29]陈彩华，湖南省社会科学成果评审委员会一般课题，XSP25YBZ124，基于机器视觉技术的高职学生课堂学习行为投入度模型研究，2025年-2027年，4万，在研，排名第三，计1.62分</w:t>
            </w:r>
          </w:p>
          <w:p w14:paraId="07D2643D">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[30]刘芳，湖南省社会科学成果评审委员会课题，XSP25YBC139，老龄化背景下湖南省社区教育教师数字胜任力现状与提升路径研究，2025年-2027年，1万，在研，排名第二，计1.62分</w:t>
            </w:r>
          </w:p>
          <w:p w14:paraId="69EB4826">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[31]曹清清，湖南省社会科学成果评审委员会课题，XSP24YBC478，职业院校教育评价指标体系研究，2024年-2026年，1万，在研，排名第二，计1.62分</w:t>
            </w:r>
          </w:p>
          <w:p w14:paraId="1D74C581">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[32]陈彩华，湖南省自然科学基金项目，2019JJ70075，基于多模态高效融合的普通话情感识别研究，2019年-2022年，10万，结题，排名第四，计1.5分</w:t>
            </w:r>
          </w:p>
          <w:p w14:paraId="4DB610D5">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[33]曹清清，湖南广播电视大学一般课题，XDK2019-C-6，基于社会网络分析理论的高职《C#程序设计基础》在线开放课程交互行为研究，2019年11月-2020年7月，0.3万，结题，排名第二，计0.6分</w:t>
            </w:r>
          </w:p>
          <w:p w14:paraId="62450F7D">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[34]曹清清，湖南广播电视大学一般课题，XDK2020-C-6，学校web站群不良信息外链检测方法研究，2020年-2021年10月，0.3万，结题，排名第二，计0.6分</w:t>
            </w:r>
          </w:p>
          <w:p w14:paraId="6FF9F3D2">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[35]刘芳，湖南开放大学一般课题，XDK2022-C-5，HDFS默认副本放置策略的改进和优化，2022年-2023年8月，0.6万，结题，排名第二，计0.6分</w:t>
            </w:r>
          </w:p>
          <w:p w14:paraId="3201C2DF">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[36]刘芳，湖南开放大学一般课题，XDK2024-C-4，积极老龄化背景下社区教育教师数字胜任力现状与提升路径研究，2024年至今，0.6万，在研，排名第二，计0.45分</w:t>
            </w:r>
          </w:p>
          <w:p w14:paraId="01E6628A">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[37]陆燕，湖南开放大学一般课题，XDK-2023-C-11，基于深度学习的网络入侵检测模型研究，2023年-2024年6月，0.6万，结题，排名第二，计0.6分</w:t>
            </w:r>
          </w:p>
          <w:p w14:paraId="1F2404DD">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[38]曹清清，长沙市哲学社会科学规划课题，2023CSSKKT120，立德树人背景下长沙市职业院校教育评价机制研究，2023年5月-2024年1月，0.6万，结题，排名第二；计1.35分</w:t>
            </w:r>
          </w:p>
          <w:p w14:paraId="3B843E12">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[39]周虹，湖南省社会科学成果评审委员会课题，XSP2023JYC164， AI智慧教育环境下高校信息素养教育体系构建研究，2023年2月至今，1万，在研，排名第二；计1.62分</w:t>
            </w:r>
          </w:p>
          <w:p w14:paraId="4CFFCD9C">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[40]陈彩华，湖南省教育厅科学研究项目一般项目，23C0679，面向无人驾驶的复杂场景时空行为识别与预测关键技术研究，2023年11月至今，1万，在研，排名第三；计1.08分</w:t>
            </w:r>
          </w:p>
          <w:p w14:paraId="1539E011">
            <w:pPr>
              <w:keepNext w:val="0"/>
              <w:keepLines w:val="0"/>
              <w:pageBreakBefore w:val="0"/>
              <w:widowControl w:val="0"/>
              <w:numPr>
                <w:ilvl w:val="0"/>
                <w:numId w:val="0"/>
              </w:numPr>
              <w:kinsoku/>
              <w:wordWrap/>
              <w:overflowPunct/>
              <w:topLinePunct w:val="0"/>
              <w:autoSpaceDE/>
              <w:autoSpaceDN/>
              <w:bidi w:val="0"/>
              <w:adjustRightInd/>
              <w:snapToGrid w:val="0"/>
              <w:jc w:val="left"/>
              <w:textAlignment w:val="auto"/>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[41]</w:t>
            </w:r>
            <w:r>
              <w:rPr>
                <w:rFonts w:hint="eastAsia" w:ascii="宋体" w:hAnsi="宋体" w:eastAsia="宋体" w:cs="宋体"/>
                <w:b w:val="0"/>
                <w:bCs w:val="0"/>
                <w:highlight w:val="none"/>
                <w:lang w:val="en-US" w:eastAsia="zh-CN"/>
              </w:rPr>
              <w:t>银奕淇，国家学习型社会建设重点任务建设项目，数字媒体技术专业群“三教协同、五体一体、多维融合”育人体系创新实践，2025/1-至今，在研，</w:t>
            </w:r>
            <w:r>
              <w:rPr>
                <w:rFonts w:hint="eastAsia" w:ascii="宋体" w:hAnsi="宋体" w:cs="宋体"/>
                <w:b w:val="0"/>
                <w:bCs w:val="0"/>
                <w:highlight w:val="none"/>
                <w:lang w:val="en-US" w:eastAsia="zh-CN"/>
              </w:rPr>
              <w:t>排名第二</w:t>
            </w:r>
            <w:r>
              <w:rPr>
                <w:rFonts w:hint="eastAsia" w:ascii="宋体" w:hAnsi="宋体" w:eastAsia="宋体" w:cs="宋体"/>
                <w:b w:val="0"/>
                <w:bCs w:val="0"/>
                <w:highlight w:val="none"/>
                <w:lang w:val="en-US" w:eastAsia="zh-CN"/>
              </w:rPr>
              <w:t>；</w:t>
            </w:r>
            <w:r>
              <w:rPr>
                <w:rFonts w:hint="eastAsia" w:ascii="宋体" w:hAnsi="宋体" w:cs="宋体"/>
                <w:b w:val="0"/>
                <w:bCs w:val="0"/>
                <w:highlight w:val="none"/>
                <w:lang w:val="en-US" w:eastAsia="zh-CN"/>
              </w:rPr>
              <w:t>计8.1分</w:t>
            </w:r>
          </w:p>
        </w:tc>
        <w:tc>
          <w:tcPr>
            <w:tcW w:w="1200" w:type="dxa"/>
            <w:vAlign w:val="center"/>
          </w:tcPr>
          <w:p w14:paraId="0B9D2355">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209.48</w:t>
            </w:r>
          </w:p>
        </w:tc>
        <w:tc>
          <w:tcPr>
            <w:tcW w:w="1274" w:type="dxa"/>
            <w:vAlign w:val="center"/>
          </w:tcPr>
          <w:p w14:paraId="7F110803">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149.2</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highlight w:val="none"/>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highlight w:val="none"/>
              </w:rPr>
            </w:pPr>
          </w:p>
        </w:tc>
        <w:tc>
          <w:tcPr>
            <w:tcW w:w="1163" w:type="dxa"/>
            <w:vAlign w:val="center"/>
          </w:tcPr>
          <w:p w14:paraId="047F2B83">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4-4-2</w:t>
            </w:r>
          </w:p>
          <w:p w14:paraId="05987D4F">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rPr>
                <w:rFonts w:hint="eastAsia" w:eastAsia="宋体"/>
                <w:color w:val="auto"/>
                <w:szCs w:val="21"/>
                <w:highlight w:val="none"/>
                <w:lang w:val="en-US" w:eastAsia="zh-CN"/>
              </w:rPr>
            </w:pPr>
            <w:r>
              <w:rPr>
                <w:rFonts w:hint="eastAsia"/>
                <w:color w:val="auto"/>
                <w:szCs w:val="21"/>
                <w:highlight w:val="none"/>
                <w:lang w:val="en-US" w:eastAsia="zh-CN"/>
              </w:rPr>
              <w:t>无</w:t>
            </w:r>
          </w:p>
        </w:tc>
        <w:tc>
          <w:tcPr>
            <w:tcW w:w="1200" w:type="dxa"/>
            <w:vAlign w:val="center"/>
          </w:tcPr>
          <w:p w14:paraId="53E56880">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08C20BEA">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highlight w:val="none"/>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highlight w:val="none"/>
              </w:rPr>
            </w:pPr>
          </w:p>
        </w:tc>
        <w:tc>
          <w:tcPr>
            <w:tcW w:w="1163" w:type="dxa"/>
            <w:vAlign w:val="center"/>
          </w:tcPr>
          <w:p w14:paraId="7EAF159E">
            <w:pPr>
              <w:adjustRightInd w:val="0"/>
              <w:snapToGrid w:val="0"/>
              <w:spacing w:line="276" w:lineRule="auto"/>
              <w:jc w:val="center"/>
              <w:rPr>
                <w:rFonts w:hint="eastAsia" w:eastAsia="宋体"/>
                <w:szCs w:val="21"/>
                <w:highlight w:val="none"/>
                <w:lang w:val="en-US" w:eastAsia="zh-CN"/>
              </w:rPr>
            </w:pPr>
            <w:r>
              <w:rPr>
                <w:rFonts w:hint="eastAsia"/>
                <w:szCs w:val="21"/>
                <w:highlight w:val="none"/>
              </w:rPr>
              <w:t>4-</w:t>
            </w:r>
            <w:r>
              <w:rPr>
                <w:rFonts w:hint="eastAsia"/>
                <w:szCs w:val="21"/>
                <w:highlight w:val="none"/>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558ED5" w:themeColor="text2" w:themeTint="99"/>
                <w:szCs w:val="21"/>
                <w:highlight w:val="none"/>
                <w:lang w:val="en-US" w:eastAsia="zh-CN"/>
                <w14:textFill>
                  <w14:solidFill>
                    <w14:schemeClr w14:val="tx2">
                      <w14:lumMod w14:val="60000"/>
                      <w14:lumOff w14:val="40000"/>
                    </w14:schemeClr>
                  </w14:solidFill>
                </w14:textFill>
              </w:rPr>
              <w:t>成果奖励</w:t>
            </w:r>
          </w:p>
          <w:p w14:paraId="0F722EE9">
            <w:pPr>
              <w:numPr>
                <w:ilvl w:val="0"/>
                <w:numId w:val="2"/>
              </w:num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杨秋芬，陆燕，刘艳，胡汀，马萌，曹清清，银奕淇，刘芳，高职教育课程资源建设研究与实践，湖南省社会科学成果评审委员会办公室，湖南省社会科学成果鉴定，省内先进水平，省部级二等奖，2022年11月；计25分</w:t>
            </w:r>
          </w:p>
          <w:p w14:paraId="36A277BE">
            <w:pPr>
              <w:numPr>
                <w:ilvl w:val="0"/>
                <w:numId w:val="2"/>
              </w:num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刘艳、赵明、马萌、曹清清、刘芳、银奕淇、颜舒婷，高职教育数字化专业教学资源建设研究，湖南省社会科学成果评审委员会办公室，湖南省社会科学成果鉴定，通过鉴定，省部级三等奖，2024年12月；计150分</w:t>
            </w:r>
          </w:p>
        </w:tc>
        <w:tc>
          <w:tcPr>
            <w:tcW w:w="1200" w:type="dxa"/>
            <w:vAlign w:val="center"/>
          </w:tcPr>
          <w:p w14:paraId="30B56F5B">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175</w:t>
            </w:r>
          </w:p>
        </w:tc>
        <w:tc>
          <w:tcPr>
            <w:tcW w:w="1274" w:type="dxa"/>
            <w:vAlign w:val="center"/>
          </w:tcPr>
          <w:p w14:paraId="3993CEE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highlight w:val="none"/>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highlight w:val="none"/>
              </w:rPr>
            </w:pPr>
          </w:p>
        </w:tc>
        <w:tc>
          <w:tcPr>
            <w:tcW w:w="1163" w:type="dxa"/>
            <w:vAlign w:val="center"/>
          </w:tcPr>
          <w:p w14:paraId="2C2CD238">
            <w:pPr>
              <w:adjustRightInd w:val="0"/>
              <w:snapToGrid w:val="0"/>
              <w:spacing w:line="276" w:lineRule="auto"/>
              <w:jc w:val="center"/>
              <w:rPr>
                <w:szCs w:val="21"/>
                <w:highlight w:val="none"/>
              </w:rPr>
            </w:pPr>
            <w:r>
              <w:rPr>
                <w:rFonts w:hint="eastAsia"/>
                <w:szCs w:val="21"/>
                <w:highlight w:val="none"/>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558ED5" w:themeColor="text2" w:themeTint="99"/>
                <w:szCs w:val="21"/>
                <w:highlight w:val="none"/>
                <w:lang w:val="en-US" w:eastAsia="zh-CN"/>
                <w14:textFill>
                  <w14:solidFill>
                    <w14:schemeClr w14:val="tx2">
                      <w14:lumMod w14:val="60000"/>
                      <w14:lumOff w14:val="40000"/>
                    </w14:schemeClr>
                  </w14:solidFill>
                </w14:textFill>
              </w:rPr>
              <w:t>成果转化</w:t>
            </w:r>
          </w:p>
          <w:p w14:paraId="64F98193">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[1]刘艳;刘人杰;马萌;曹清清;刘芳，信息化教学展示模型，2021年08月17日，实用新型专</w:t>
            </w:r>
            <w:r>
              <w:rPr>
                <w:rFonts w:hint="eastAsia"/>
                <w:color w:val="000000" w:themeColor="text1"/>
                <w:szCs w:val="21"/>
                <w:highlight w:val="none"/>
                <w:lang w:val="en-US" w:eastAsia="zh-CN"/>
                <w14:textFill>
                  <w14:solidFill>
                    <w14:schemeClr w14:val="tx1"/>
                  </w14:solidFill>
                </w14:textFill>
              </w:rPr>
              <w:t>利</w:t>
            </w:r>
            <w:r>
              <w:rPr>
                <w:rFonts w:hint="eastAsia"/>
                <w:color w:val="000000" w:themeColor="text1"/>
                <w:szCs w:val="21"/>
                <w:highlight w:val="none"/>
                <w14:textFill>
                  <w14:solidFill>
                    <w14:schemeClr w14:val="tx1"/>
                  </w14:solidFill>
                </w14:textFill>
              </w:rPr>
              <w:t>，ZL202022067053.9；计3分</w:t>
            </w:r>
          </w:p>
          <w:p w14:paraId="35CC9B40">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[2]刘艳;马萌;曹清清;刘芳，一种基于大数据的教师行为采集设备，2022年03月22日，实用新型专</w:t>
            </w:r>
            <w:r>
              <w:rPr>
                <w:rFonts w:hint="eastAsia"/>
                <w:color w:val="000000" w:themeColor="text1"/>
                <w:szCs w:val="21"/>
                <w:highlight w:val="none"/>
                <w:lang w:val="en-US" w:eastAsia="zh-CN"/>
                <w14:textFill>
                  <w14:solidFill>
                    <w14:schemeClr w14:val="tx1"/>
                  </w14:solidFill>
                </w14:textFill>
              </w:rPr>
              <w:t>利</w:t>
            </w:r>
            <w:r>
              <w:rPr>
                <w:rFonts w:hint="eastAsia"/>
                <w:color w:val="000000" w:themeColor="text1"/>
                <w:szCs w:val="21"/>
                <w:highlight w:val="none"/>
                <w14:textFill>
                  <w14:solidFill>
                    <w14:schemeClr w14:val="tx1"/>
                  </w14:solidFill>
                </w14:textFill>
              </w:rPr>
              <w:t>，ZL202122578126.5；计3分</w:t>
            </w:r>
          </w:p>
          <w:p w14:paraId="27DE8C6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[3]刘艳;刘芳;马萌;曹清清;刘人杰;肖婷;吴科;唐涛，智能化教学效果自动跟踪测评管理系统V1.0，2023年6月15日，计算机软件著作权，2023SR0664960；计1分</w:t>
            </w:r>
          </w:p>
          <w:p w14:paraId="48F4F5F9">
            <w:pPr>
              <w:adjustRightInd w:val="0"/>
              <w:snapToGrid w:val="0"/>
              <w:spacing w:line="276"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[4]刘艳;陈彩华;曹清清;马萌;刘芳;谭倩;游如星，教学智能数据分析平台 V1.0，2024年2月5日，计算机软件著作权，2024SR0228427；计1分</w:t>
            </w:r>
          </w:p>
        </w:tc>
        <w:tc>
          <w:tcPr>
            <w:tcW w:w="1200" w:type="dxa"/>
            <w:vAlign w:val="center"/>
          </w:tcPr>
          <w:p w14:paraId="3EAF8E55">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8</w:t>
            </w:r>
          </w:p>
        </w:tc>
        <w:tc>
          <w:tcPr>
            <w:tcW w:w="1274" w:type="dxa"/>
            <w:vAlign w:val="center"/>
          </w:tcPr>
          <w:p w14:paraId="5C24BF56">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8</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highlight w:val="none"/>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highlight w:val="none"/>
              </w:rPr>
            </w:pPr>
          </w:p>
        </w:tc>
        <w:tc>
          <w:tcPr>
            <w:tcW w:w="1163" w:type="dxa"/>
            <w:vAlign w:val="center"/>
          </w:tcPr>
          <w:p w14:paraId="21DC4AD4">
            <w:pPr>
              <w:adjustRightInd w:val="0"/>
              <w:snapToGrid w:val="0"/>
              <w:spacing w:line="276" w:lineRule="auto"/>
              <w:jc w:val="center"/>
              <w:rPr>
                <w:b w:val="0"/>
                <w:bCs/>
                <w:szCs w:val="21"/>
                <w:highlight w:val="none"/>
              </w:rPr>
            </w:pPr>
            <w:r>
              <w:rPr>
                <w:rFonts w:hint="eastAsia"/>
                <w:b w:val="0"/>
                <w:bCs/>
                <w:szCs w:val="21"/>
                <w:highlight w:val="none"/>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如有，根据实际情况填写采纳的年份、内容、批示的领导或采纳的政府部门，计分</w:t>
            </w:r>
          </w:p>
        </w:tc>
        <w:tc>
          <w:tcPr>
            <w:tcW w:w="1200" w:type="dxa"/>
            <w:vAlign w:val="center"/>
          </w:tcPr>
          <w:p w14:paraId="32216470">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3D28B72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highlight w:val="none"/>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highlight w:val="none"/>
              </w:rPr>
            </w:pPr>
          </w:p>
        </w:tc>
        <w:tc>
          <w:tcPr>
            <w:tcW w:w="1163" w:type="dxa"/>
            <w:vAlign w:val="center"/>
          </w:tcPr>
          <w:p w14:paraId="4103D2C9">
            <w:pPr>
              <w:adjustRightInd w:val="0"/>
              <w:snapToGrid w:val="0"/>
              <w:spacing w:line="276" w:lineRule="auto"/>
              <w:jc w:val="center"/>
              <w:rPr>
                <w:rFonts w:hint="default" w:eastAsia="宋体"/>
                <w:b w:val="0"/>
                <w:bCs/>
                <w:szCs w:val="21"/>
                <w:highlight w:val="none"/>
                <w:lang w:val="en-US" w:eastAsia="zh-CN"/>
              </w:rPr>
            </w:pPr>
            <w:r>
              <w:rPr>
                <w:rFonts w:hint="eastAsia"/>
                <w:b w:val="0"/>
                <w:bCs/>
                <w:szCs w:val="21"/>
                <w:highlight w:val="none"/>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b w:val="0"/>
                <w:bCs/>
                <w:color w:val="558ED5" w:themeColor="text2" w:themeTint="99"/>
                <w:szCs w:val="21"/>
                <w:highlight w:val="none"/>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如有，请写明担任时间等信息。</w:t>
            </w:r>
          </w:p>
        </w:tc>
        <w:tc>
          <w:tcPr>
            <w:tcW w:w="1200" w:type="dxa"/>
            <w:vAlign w:val="center"/>
          </w:tcPr>
          <w:p w14:paraId="0A333D98">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0</w:t>
            </w:r>
          </w:p>
        </w:tc>
        <w:tc>
          <w:tcPr>
            <w:tcW w:w="1274" w:type="dxa"/>
            <w:vAlign w:val="center"/>
          </w:tcPr>
          <w:p w14:paraId="0F09FBD2">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highlight w:val="none"/>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highlight w:val="none"/>
              </w:rPr>
            </w:pPr>
            <w:r>
              <w:rPr>
                <w:rFonts w:hint="eastAsia"/>
                <w:b/>
                <w:szCs w:val="21"/>
                <w:highlight w:val="none"/>
                <w:lang w:val="en-US" w:eastAsia="zh-CN"/>
              </w:rPr>
              <w:t>5</w:t>
            </w:r>
            <w:r>
              <w:rPr>
                <w:rFonts w:hint="eastAsia"/>
                <w:b/>
                <w:szCs w:val="21"/>
                <w:highlight w:val="none"/>
              </w:rPr>
              <w:t>.代表作审读和面试答辩</w:t>
            </w:r>
          </w:p>
        </w:tc>
        <w:tc>
          <w:tcPr>
            <w:tcW w:w="1163" w:type="dxa"/>
            <w:vAlign w:val="center"/>
          </w:tcPr>
          <w:p w14:paraId="2F64F5FE">
            <w:pPr>
              <w:adjustRightInd w:val="0"/>
              <w:snapToGrid w:val="0"/>
              <w:spacing w:line="276" w:lineRule="auto"/>
              <w:jc w:val="center"/>
              <w:rPr>
                <w:szCs w:val="21"/>
                <w:highlight w:val="none"/>
              </w:rPr>
            </w:pPr>
            <w:r>
              <w:rPr>
                <w:rFonts w:hint="eastAsia"/>
                <w:szCs w:val="21"/>
                <w:highlight w:val="none"/>
                <w:lang w:val="en-US" w:eastAsia="zh-CN"/>
              </w:rPr>
              <w:t>5</w:t>
            </w:r>
            <w:r>
              <w:rPr>
                <w:rFonts w:hint="eastAsia"/>
                <w:szCs w:val="21"/>
                <w:highlight w:val="none"/>
              </w:rPr>
              <w:t>-1代表作审读</w:t>
            </w:r>
          </w:p>
        </w:tc>
        <w:tc>
          <w:tcPr>
            <w:tcW w:w="14536" w:type="dxa"/>
            <w:gridSpan w:val="10"/>
            <w:vAlign w:val="center"/>
          </w:tcPr>
          <w:p w14:paraId="2AB19F5D">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标明代表作，不自评分。</w:t>
            </w:r>
          </w:p>
          <w:p w14:paraId="6236A077">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论文：基于图卷积的注意力聚焦时空融合人体活动识别研究</w:t>
            </w:r>
          </w:p>
          <w:p w14:paraId="0BC09A18">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论文：泛在学习背景下湖南省高职专业教学资源库建设研究</w:t>
            </w:r>
          </w:p>
        </w:tc>
        <w:tc>
          <w:tcPr>
            <w:tcW w:w="1200" w:type="dxa"/>
            <w:vAlign w:val="center"/>
          </w:tcPr>
          <w:p w14:paraId="5EB2AC2E">
            <w:pPr>
              <w:adjustRightInd w:val="0"/>
              <w:snapToGrid w:val="0"/>
              <w:spacing w:line="276" w:lineRule="auto"/>
              <w:jc w:val="center"/>
              <w:rPr>
                <w:szCs w:val="21"/>
                <w:highlight w:val="none"/>
              </w:rPr>
            </w:pPr>
            <w:r>
              <w:rPr>
                <w:rFonts w:hint="eastAsia"/>
                <w:szCs w:val="21"/>
                <w:highlight w:val="none"/>
              </w:rPr>
              <w:t>-</w:t>
            </w:r>
          </w:p>
        </w:tc>
        <w:tc>
          <w:tcPr>
            <w:tcW w:w="1274" w:type="dxa"/>
            <w:vAlign w:val="center"/>
          </w:tcPr>
          <w:p w14:paraId="39DD801E">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5BDD8D24">
            <w:pPr>
              <w:adjustRightInd w:val="0"/>
              <w:snapToGrid w:val="0"/>
              <w:spacing w:line="276" w:lineRule="auto"/>
              <w:jc w:val="center"/>
              <w:rPr>
                <w:color w:val="FF0000"/>
                <w:sz w:val="24"/>
                <w:highlight w:val="none"/>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highlight w:val="none"/>
              </w:rPr>
            </w:pPr>
          </w:p>
        </w:tc>
        <w:tc>
          <w:tcPr>
            <w:tcW w:w="1163" w:type="dxa"/>
            <w:vAlign w:val="center"/>
          </w:tcPr>
          <w:p w14:paraId="18D83720">
            <w:pPr>
              <w:adjustRightInd w:val="0"/>
              <w:snapToGrid w:val="0"/>
              <w:spacing w:line="276" w:lineRule="auto"/>
              <w:jc w:val="center"/>
              <w:rPr>
                <w:szCs w:val="21"/>
                <w:highlight w:val="none"/>
              </w:rPr>
            </w:pPr>
            <w:r>
              <w:rPr>
                <w:rFonts w:hint="eastAsia"/>
                <w:szCs w:val="21"/>
                <w:highlight w:val="none"/>
                <w:lang w:val="en-US" w:eastAsia="zh-CN"/>
              </w:rPr>
              <w:t>5</w:t>
            </w:r>
            <w:r>
              <w:rPr>
                <w:rFonts w:hint="eastAsia"/>
                <w:szCs w:val="21"/>
                <w:highlight w:val="none"/>
              </w:rPr>
              <w:t>-2面试答辩</w:t>
            </w:r>
          </w:p>
        </w:tc>
        <w:tc>
          <w:tcPr>
            <w:tcW w:w="14536" w:type="dxa"/>
            <w:gridSpan w:val="10"/>
            <w:vAlign w:val="center"/>
          </w:tcPr>
          <w:p w14:paraId="35B52121">
            <w:pPr>
              <w:adjustRightInd w:val="0"/>
              <w:snapToGrid w:val="0"/>
              <w:spacing w:line="276"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highlight w:val="none"/>
              </w:rPr>
            </w:pPr>
            <w:r>
              <w:rPr>
                <w:rFonts w:hint="eastAsia"/>
                <w:szCs w:val="21"/>
                <w:highlight w:val="none"/>
              </w:rPr>
              <w:t>-</w:t>
            </w:r>
          </w:p>
        </w:tc>
        <w:tc>
          <w:tcPr>
            <w:tcW w:w="1274" w:type="dxa"/>
            <w:vAlign w:val="center"/>
          </w:tcPr>
          <w:p w14:paraId="47BFA8B4">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60BCB247">
            <w:pPr>
              <w:adjustRightInd w:val="0"/>
              <w:snapToGrid w:val="0"/>
              <w:spacing w:line="276" w:lineRule="auto"/>
              <w:jc w:val="center"/>
              <w:rPr>
                <w:color w:val="FF0000"/>
                <w:sz w:val="24"/>
                <w:highlight w:val="none"/>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32482555-411B-4ADC-815E-78F7D6F3D8DB}"/>
  </w:font>
  <w:font w:name="方正小标宋简体">
    <w:panose1 w:val="02000000000000000000"/>
    <w:charset w:val="86"/>
    <w:family w:val="auto"/>
    <w:pitch w:val="default"/>
    <w:sig w:usb0="00000001" w:usb1="08000000" w:usb2="00000000" w:usb3="00000000" w:csb0="00040000" w:csb1="00000000"/>
    <w:embedRegular r:id="rId2" w:fontKey="{B8DAE65E-ACA4-4F7E-9C49-4F9666CD653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2D3090"/>
    <w:multiLevelType w:val="singleLevel"/>
    <w:tmpl w:val="AC2D3090"/>
    <w:lvl w:ilvl="0" w:tentative="0">
      <w:start w:val="1"/>
      <w:numFmt w:val="decimal"/>
      <w:lvlText w:val="[%1]"/>
      <w:lvlJc w:val="left"/>
      <w:pPr>
        <w:tabs>
          <w:tab w:val="left" w:pos="312"/>
        </w:tabs>
      </w:pPr>
    </w:lvl>
  </w:abstractNum>
  <w:abstractNum w:abstractNumId="1">
    <w:nsid w:val="1A34CA84"/>
    <w:multiLevelType w:val="singleLevel"/>
    <w:tmpl w:val="1A34CA8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74C"/>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37A6E"/>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5FA"/>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43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C62"/>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6C9"/>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1626374"/>
    <w:rsid w:val="0179546C"/>
    <w:rsid w:val="01853E11"/>
    <w:rsid w:val="01BD35AB"/>
    <w:rsid w:val="01D37272"/>
    <w:rsid w:val="01D60B10"/>
    <w:rsid w:val="01DB1C83"/>
    <w:rsid w:val="026954E1"/>
    <w:rsid w:val="027C5214"/>
    <w:rsid w:val="02A227A1"/>
    <w:rsid w:val="02C32E43"/>
    <w:rsid w:val="02FF5E45"/>
    <w:rsid w:val="030A6CC4"/>
    <w:rsid w:val="035E700F"/>
    <w:rsid w:val="036A7762"/>
    <w:rsid w:val="03BD541F"/>
    <w:rsid w:val="03F1578E"/>
    <w:rsid w:val="04B35139"/>
    <w:rsid w:val="04D72BD5"/>
    <w:rsid w:val="04E13A54"/>
    <w:rsid w:val="05A14F91"/>
    <w:rsid w:val="05AC22B4"/>
    <w:rsid w:val="05B41169"/>
    <w:rsid w:val="05E01F5E"/>
    <w:rsid w:val="06053772"/>
    <w:rsid w:val="06426774"/>
    <w:rsid w:val="06936FD0"/>
    <w:rsid w:val="06A74829"/>
    <w:rsid w:val="06AA71FC"/>
    <w:rsid w:val="06BA455D"/>
    <w:rsid w:val="07C5140B"/>
    <w:rsid w:val="081C4DA3"/>
    <w:rsid w:val="08316AA1"/>
    <w:rsid w:val="08BF40AC"/>
    <w:rsid w:val="08D15B8E"/>
    <w:rsid w:val="09047D11"/>
    <w:rsid w:val="092E38C6"/>
    <w:rsid w:val="09D75426"/>
    <w:rsid w:val="0A894972"/>
    <w:rsid w:val="0A8F7AAE"/>
    <w:rsid w:val="0B765D27"/>
    <w:rsid w:val="0B826B70"/>
    <w:rsid w:val="0BB04180"/>
    <w:rsid w:val="0BD065D0"/>
    <w:rsid w:val="0C25691C"/>
    <w:rsid w:val="0C300E1D"/>
    <w:rsid w:val="0C4F1BEB"/>
    <w:rsid w:val="0C7E7DDA"/>
    <w:rsid w:val="0CA02447"/>
    <w:rsid w:val="0CA42D4A"/>
    <w:rsid w:val="0D116EA1"/>
    <w:rsid w:val="0D18022F"/>
    <w:rsid w:val="0DC363ED"/>
    <w:rsid w:val="0DDF0D4D"/>
    <w:rsid w:val="0E63372C"/>
    <w:rsid w:val="0E87741A"/>
    <w:rsid w:val="0EA855E3"/>
    <w:rsid w:val="0EF268D2"/>
    <w:rsid w:val="0F3550C8"/>
    <w:rsid w:val="0F3A26DF"/>
    <w:rsid w:val="0F587009"/>
    <w:rsid w:val="0F751969"/>
    <w:rsid w:val="0FD52407"/>
    <w:rsid w:val="10030D22"/>
    <w:rsid w:val="11050ACA"/>
    <w:rsid w:val="11BD75F7"/>
    <w:rsid w:val="11DF131B"/>
    <w:rsid w:val="11E15093"/>
    <w:rsid w:val="11EE77B0"/>
    <w:rsid w:val="120310A6"/>
    <w:rsid w:val="12386C7D"/>
    <w:rsid w:val="125E66E4"/>
    <w:rsid w:val="12687563"/>
    <w:rsid w:val="12E110C3"/>
    <w:rsid w:val="13405DEA"/>
    <w:rsid w:val="13533D6F"/>
    <w:rsid w:val="13A445CA"/>
    <w:rsid w:val="14236103"/>
    <w:rsid w:val="14E76398"/>
    <w:rsid w:val="14EA0703"/>
    <w:rsid w:val="151614F8"/>
    <w:rsid w:val="152C2AC9"/>
    <w:rsid w:val="15323E58"/>
    <w:rsid w:val="15331020"/>
    <w:rsid w:val="153E0A4F"/>
    <w:rsid w:val="154716B1"/>
    <w:rsid w:val="1574621E"/>
    <w:rsid w:val="157D3325"/>
    <w:rsid w:val="15836462"/>
    <w:rsid w:val="15891CCA"/>
    <w:rsid w:val="15B637D7"/>
    <w:rsid w:val="15DE6CEC"/>
    <w:rsid w:val="16691AFB"/>
    <w:rsid w:val="172577D0"/>
    <w:rsid w:val="17AC3E1E"/>
    <w:rsid w:val="17AF79E2"/>
    <w:rsid w:val="17B15508"/>
    <w:rsid w:val="17CE7E68"/>
    <w:rsid w:val="18934C0E"/>
    <w:rsid w:val="18CE3E98"/>
    <w:rsid w:val="194B54E8"/>
    <w:rsid w:val="197935C4"/>
    <w:rsid w:val="19C37774"/>
    <w:rsid w:val="19F240FF"/>
    <w:rsid w:val="1A2758F9"/>
    <w:rsid w:val="1A352CAC"/>
    <w:rsid w:val="1A4A57A0"/>
    <w:rsid w:val="1A7F18ED"/>
    <w:rsid w:val="1A9D1D74"/>
    <w:rsid w:val="1AD82E20"/>
    <w:rsid w:val="1B650AE3"/>
    <w:rsid w:val="1B7C5E2D"/>
    <w:rsid w:val="1B80114D"/>
    <w:rsid w:val="1BBC447B"/>
    <w:rsid w:val="1BCF2401"/>
    <w:rsid w:val="1BE35EAC"/>
    <w:rsid w:val="1BE37C5A"/>
    <w:rsid w:val="1BEA548C"/>
    <w:rsid w:val="1C427076"/>
    <w:rsid w:val="1C8F393E"/>
    <w:rsid w:val="1CB57848"/>
    <w:rsid w:val="1CC655B2"/>
    <w:rsid w:val="1CFD4D4B"/>
    <w:rsid w:val="1D5E3A3C"/>
    <w:rsid w:val="1D6B7F07"/>
    <w:rsid w:val="1DFA65D4"/>
    <w:rsid w:val="1DFB74DD"/>
    <w:rsid w:val="1DFF2482"/>
    <w:rsid w:val="1E3824DF"/>
    <w:rsid w:val="1E446A54"/>
    <w:rsid w:val="1E4932E7"/>
    <w:rsid w:val="1E4F7829"/>
    <w:rsid w:val="1F2E5704"/>
    <w:rsid w:val="1F75506D"/>
    <w:rsid w:val="1FC830EC"/>
    <w:rsid w:val="1FF860DA"/>
    <w:rsid w:val="20112FE8"/>
    <w:rsid w:val="204F1D62"/>
    <w:rsid w:val="204F3B10"/>
    <w:rsid w:val="20BD6CCC"/>
    <w:rsid w:val="20D3029D"/>
    <w:rsid w:val="218477E9"/>
    <w:rsid w:val="21A34113"/>
    <w:rsid w:val="21C83B7A"/>
    <w:rsid w:val="2208041A"/>
    <w:rsid w:val="221E7C3E"/>
    <w:rsid w:val="227C4BFC"/>
    <w:rsid w:val="22B10AB2"/>
    <w:rsid w:val="22FC3726"/>
    <w:rsid w:val="230F216D"/>
    <w:rsid w:val="234B10F5"/>
    <w:rsid w:val="23580F2E"/>
    <w:rsid w:val="243454F7"/>
    <w:rsid w:val="24E743D1"/>
    <w:rsid w:val="25070E5D"/>
    <w:rsid w:val="259F4BF2"/>
    <w:rsid w:val="25B2301B"/>
    <w:rsid w:val="260E3B25"/>
    <w:rsid w:val="261F5D33"/>
    <w:rsid w:val="26A5448A"/>
    <w:rsid w:val="26BE554B"/>
    <w:rsid w:val="271D04C4"/>
    <w:rsid w:val="275D2FB6"/>
    <w:rsid w:val="27912C60"/>
    <w:rsid w:val="27930786"/>
    <w:rsid w:val="27EB2370"/>
    <w:rsid w:val="281A2C55"/>
    <w:rsid w:val="281D7F89"/>
    <w:rsid w:val="28B704A4"/>
    <w:rsid w:val="28ED218C"/>
    <w:rsid w:val="29695C42"/>
    <w:rsid w:val="2A1D6A2D"/>
    <w:rsid w:val="2A497822"/>
    <w:rsid w:val="2A4F246F"/>
    <w:rsid w:val="2A772858"/>
    <w:rsid w:val="2A7F3244"/>
    <w:rsid w:val="2B253DEB"/>
    <w:rsid w:val="2B367DA6"/>
    <w:rsid w:val="2B381D70"/>
    <w:rsid w:val="2B626DED"/>
    <w:rsid w:val="2B724B56"/>
    <w:rsid w:val="2BE9306B"/>
    <w:rsid w:val="2BEA293F"/>
    <w:rsid w:val="2C66290D"/>
    <w:rsid w:val="2C852B16"/>
    <w:rsid w:val="2CAB45AB"/>
    <w:rsid w:val="2CAB47C4"/>
    <w:rsid w:val="2CB35427"/>
    <w:rsid w:val="2CCD64E8"/>
    <w:rsid w:val="2CE81574"/>
    <w:rsid w:val="2D9A0409"/>
    <w:rsid w:val="2DE735DA"/>
    <w:rsid w:val="2E312AA7"/>
    <w:rsid w:val="2F542EF1"/>
    <w:rsid w:val="2F544C9F"/>
    <w:rsid w:val="2F611AB1"/>
    <w:rsid w:val="2FAF0127"/>
    <w:rsid w:val="2FF74E93"/>
    <w:rsid w:val="308275EA"/>
    <w:rsid w:val="30B8300C"/>
    <w:rsid w:val="30C776F3"/>
    <w:rsid w:val="30D065A7"/>
    <w:rsid w:val="30D36097"/>
    <w:rsid w:val="30F304E8"/>
    <w:rsid w:val="30F85AFE"/>
    <w:rsid w:val="3115220C"/>
    <w:rsid w:val="31523460"/>
    <w:rsid w:val="317F1D7B"/>
    <w:rsid w:val="31AB2B70"/>
    <w:rsid w:val="31AF440F"/>
    <w:rsid w:val="31B45EC9"/>
    <w:rsid w:val="31C26583"/>
    <w:rsid w:val="32116E77"/>
    <w:rsid w:val="32132BEF"/>
    <w:rsid w:val="323668DE"/>
    <w:rsid w:val="326E6078"/>
    <w:rsid w:val="32701D7C"/>
    <w:rsid w:val="32935ADE"/>
    <w:rsid w:val="32C4213C"/>
    <w:rsid w:val="33174961"/>
    <w:rsid w:val="33811DDB"/>
    <w:rsid w:val="33FB4AD5"/>
    <w:rsid w:val="341E1D1F"/>
    <w:rsid w:val="343E7CCC"/>
    <w:rsid w:val="34592D57"/>
    <w:rsid w:val="346040E6"/>
    <w:rsid w:val="34637732"/>
    <w:rsid w:val="34871673"/>
    <w:rsid w:val="3489363D"/>
    <w:rsid w:val="34D064BE"/>
    <w:rsid w:val="35132F06"/>
    <w:rsid w:val="351F7AFD"/>
    <w:rsid w:val="35B069A7"/>
    <w:rsid w:val="35E825E5"/>
    <w:rsid w:val="36231C09"/>
    <w:rsid w:val="36407D2B"/>
    <w:rsid w:val="36761A81"/>
    <w:rsid w:val="368220F2"/>
    <w:rsid w:val="37B63C1C"/>
    <w:rsid w:val="37BF1123"/>
    <w:rsid w:val="37EF1A09"/>
    <w:rsid w:val="383438BF"/>
    <w:rsid w:val="38563836"/>
    <w:rsid w:val="386D0B7F"/>
    <w:rsid w:val="387463B2"/>
    <w:rsid w:val="38B44A00"/>
    <w:rsid w:val="38C904AC"/>
    <w:rsid w:val="38CD7870"/>
    <w:rsid w:val="38E2331B"/>
    <w:rsid w:val="3938118D"/>
    <w:rsid w:val="397C3770"/>
    <w:rsid w:val="398048E2"/>
    <w:rsid w:val="3A1E4827"/>
    <w:rsid w:val="3AB962FE"/>
    <w:rsid w:val="3AC23405"/>
    <w:rsid w:val="3AF47336"/>
    <w:rsid w:val="3B626996"/>
    <w:rsid w:val="3B7663F4"/>
    <w:rsid w:val="3BC62A80"/>
    <w:rsid w:val="3BD827B4"/>
    <w:rsid w:val="3C3C71E7"/>
    <w:rsid w:val="3CEB21BC"/>
    <w:rsid w:val="3CF4361D"/>
    <w:rsid w:val="3D346110"/>
    <w:rsid w:val="3D734107"/>
    <w:rsid w:val="3DAC3EF8"/>
    <w:rsid w:val="3E015FF2"/>
    <w:rsid w:val="3E104D62"/>
    <w:rsid w:val="3EB61481"/>
    <w:rsid w:val="3EE17BD1"/>
    <w:rsid w:val="3F3DCAAD"/>
    <w:rsid w:val="3F4862B9"/>
    <w:rsid w:val="3F732F1F"/>
    <w:rsid w:val="3F740A45"/>
    <w:rsid w:val="40204729"/>
    <w:rsid w:val="405745EF"/>
    <w:rsid w:val="409F5F96"/>
    <w:rsid w:val="40CF0629"/>
    <w:rsid w:val="40DB2C76"/>
    <w:rsid w:val="40E37C31"/>
    <w:rsid w:val="41160006"/>
    <w:rsid w:val="41272213"/>
    <w:rsid w:val="41A75102"/>
    <w:rsid w:val="41F1637D"/>
    <w:rsid w:val="422C1AAB"/>
    <w:rsid w:val="4293471F"/>
    <w:rsid w:val="42AC43A9"/>
    <w:rsid w:val="430555E7"/>
    <w:rsid w:val="43056584"/>
    <w:rsid w:val="432756C1"/>
    <w:rsid w:val="437C611B"/>
    <w:rsid w:val="43CD4BC8"/>
    <w:rsid w:val="43F403A7"/>
    <w:rsid w:val="43F565F9"/>
    <w:rsid w:val="4447497A"/>
    <w:rsid w:val="44621D74"/>
    <w:rsid w:val="446948F1"/>
    <w:rsid w:val="44CB1108"/>
    <w:rsid w:val="458D6C93"/>
    <w:rsid w:val="459D1975"/>
    <w:rsid w:val="45AF476D"/>
    <w:rsid w:val="45EE1552"/>
    <w:rsid w:val="45F96148"/>
    <w:rsid w:val="466C691A"/>
    <w:rsid w:val="46965745"/>
    <w:rsid w:val="469A6FE4"/>
    <w:rsid w:val="46C2653A"/>
    <w:rsid w:val="46F801AE"/>
    <w:rsid w:val="47370CD6"/>
    <w:rsid w:val="4762569C"/>
    <w:rsid w:val="47685334"/>
    <w:rsid w:val="47CB680A"/>
    <w:rsid w:val="47D14C87"/>
    <w:rsid w:val="48537D92"/>
    <w:rsid w:val="48CB3DCC"/>
    <w:rsid w:val="4933371F"/>
    <w:rsid w:val="49507E2D"/>
    <w:rsid w:val="496833C9"/>
    <w:rsid w:val="49902920"/>
    <w:rsid w:val="49CC7DFC"/>
    <w:rsid w:val="4A804742"/>
    <w:rsid w:val="4AD827D0"/>
    <w:rsid w:val="4AF3760A"/>
    <w:rsid w:val="4AF869CF"/>
    <w:rsid w:val="4B076C12"/>
    <w:rsid w:val="4B1A6945"/>
    <w:rsid w:val="4B1C090F"/>
    <w:rsid w:val="4B313C8F"/>
    <w:rsid w:val="4B3F63AB"/>
    <w:rsid w:val="4BA10E14"/>
    <w:rsid w:val="4BE62CCB"/>
    <w:rsid w:val="4BFE6267"/>
    <w:rsid w:val="4C231829"/>
    <w:rsid w:val="4C5D2750"/>
    <w:rsid w:val="4C6836E0"/>
    <w:rsid w:val="4D3006A2"/>
    <w:rsid w:val="4D534390"/>
    <w:rsid w:val="4D622825"/>
    <w:rsid w:val="4D704F42"/>
    <w:rsid w:val="4D782049"/>
    <w:rsid w:val="4D932E50"/>
    <w:rsid w:val="4DAF58EE"/>
    <w:rsid w:val="4DE65204"/>
    <w:rsid w:val="4E015B9A"/>
    <w:rsid w:val="4E0D2791"/>
    <w:rsid w:val="4E437F61"/>
    <w:rsid w:val="4E994025"/>
    <w:rsid w:val="4EA824BA"/>
    <w:rsid w:val="4F4C1097"/>
    <w:rsid w:val="4F8C6B6C"/>
    <w:rsid w:val="4FA829A2"/>
    <w:rsid w:val="4FBA06F6"/>
    <w:rsid w:val="50746AF7"/>
    <w:rsid w:val="5084660D"/>
    <w:rsid w:val="50A62A29"/>
    <w:rsid w:val="50AB003F"/>
    <w:rsid w:val="50AC6291"/>
    <w:rsid w:val="50C07F8E"/>
    <w:rsid w:val="512C73D2"/>
    <w:rsid w:val="51340035"/>
    <w:rsid w:val="51477D68"/>
    <w:rsid w:val="515B639F"/>
    <w:rsid w:val="51803610"/>
    <w:rsid w:val="51D11D27"/>
    <w:rsid w:val="522D51B0"/>
    <w:rsid w:val="5233653E"/>
    <w:rsid w:val="52ED2B91"/>
    <w:rsid w:val="52F263F9"/>
    <w:rsid w:val="52F932E4"/>
    <w:rsid w:val="53B316E5"/>
    <w:rsid w:val="53D02297"/>
    <w:rsid w:val="53F65A75"/>
    <w:rsid w:val="54380D30"/>
    <w:rsid w:val="548D462B"/>
    <w:rsid w:val="54B75204"/>
    <w:rsid w:val="54BA6AA3"/>
    <w:rsid w:val="55173EF5"/>
    <w:rsid w:val="55E53FF3"/>
    <w:rsid w:val="55F04E72"/>
    <w:rsid w:val="56270C5F"/>
    <w:rsid w:val="565C42B5"/>
    <w:rsid w:val="565F6965"/>
    <w:rsid w:val="567710EF"/>
    <w:rsid w:val="57160908"/>
    <w:rsid w:val="57361328"/>
    <w:rsid w:val="574A2360"/>
    <w:rsid w:val="576553EC"/>
    <w:rsid w:val="57672F12"/>
    <w:rsid w:val="57763155"/>
    <w:rsid w:val="57D32355"/>
    <w:rsid w:val="57E64118"/>
    <w:rsid w:val="57E9601D"/>
    <w:rsid w:val="58421289"/>
    <w:rsid w:val="58496ABB"/>
    <w:rsid w:val="58801DB1"/>
    <w:rsid w:val="58C93758"/>
    <w:rsid w:val="58D63E23"/>
    <w:rsid w:val="58FF53CC"/>
    <w:rsid w:val="592D3CE7"/>
    <w:rsid w:val="594554D5"/>
    <w:rsid w:val="595474C6"/>
    <w:rsid w:val="596A0A97"/>
    <w:rsid w:val="59FB5B93"/>
    <w:rsid w:val="5A2166B1"/>
    <w:rsid w:val="5A243D5C"/>
    <w:rsid w:val="5A706D61"/>
    <w:rsid w:val="5A8B33BB"/>
    <w:rsid w:val="5AB51D20"/>
    <w:rsid w:val="5AC9333E"/>
    <w:rsid w:val="5AE44879"/>
    <w:rsid w:val="5AFA409D"/>
    <w:rsid w:val="5B0F5D9A"/>
    <w:rsid w:val="5BA1276A"/>
    <w:rsid w:val="5BCA3A6F"/>
    <w:rsid w:val="5C621EFA"/>
    <w:rsid w:val="5C761E49"/>
    <w:rsid w:val="5C875E04"/>
    <w:rsid w:val="5CEE378D"/>
    <w:rsid w:val="5CF76AE6"/>
    <w:rsid w:val="5D2F5BC8"/>
    <w:rsid w:val="5DDC5BCF"/>
    <w:rsid w:val="5E541D16"/>
    <w:rsid w:val="5E6A153A"/>
    <w:rsid w:val="5E93283E"/>
    <w:rsid w:val="5EB34C8F"/>
    <w:rsid w:val="5F1A6ABC"/>
    <w:rsid w:val="5F223BC2"/>
    <w:rsid w:val="5F4973A1"/>
    <w:rsid w:val="5F555D46"/>
    <w:rsid w:val="5F5F6BC4"/>
    <w:rsid w:val="5F942D12"/>
    <w:rsid w:val="5FDE5541"/>
    <w:rsid w:val="6031230F"/>
    <w:rsid w:val="6093187E"/>
    <w:rsid w:val="60B22A8D"/>
    <w:rsid w:val="613C71BD"/>
    <w:rsid w:val="61CB6793"/>
    <w:rsid w:val="61E0223F"/>
    <w:rsid w:val="61E82EA1"/>
    <w:rsid w:val="61F45CEA"/>
    <w:rsid w:val="62CC631F"/>
    <w:rsid w:val="639332E1"/>
    <w:rsid w:val="64153CF6"/>
    <w:rsid w:val="64460353"/>
    <w:rsid w:val="645760BC"/>
    <w:rsid w:val="64D63485"/>
    <w:rsid w:val="653E102A"/>
    <w:rsid w:val="658C6239"/>
    <w:rsid w:val="6598698C"/>
    <w:rsid w:val="65F433F2"/>
    <w:rsid w:val="660B53B0"/>
    <w:rsid w:val="66304E17"/>
    <w:rsid w:val="664663E8"/>
    <w:rsid w:val="664B7EA3"/>
    <w:rsid w:val="66611474"/>
    <w:rsid w:val="666920D7"/>
    <w:rsid w:val="668B029F"/>
    <w:rsid w:val="66B477F6"/>
    <w:rsid w:val="66D439F4"/>
    <w:rsid w:val="670026AE"/>
    <w:rsid w:val="672A5D0A"/>
    <w:rsid w:val="677F6056"/>
    <w:rsid w:val="67DC0040"/>
    <w:rsid w:val="682E5386"/>
    <w:rsid w:val="68896A60"/>
    <w:rsid w:val="688D47A2"/>
    <w:rsid w:val="68994EF5"/>
    <w:rsid w:val="68B03FED"/>
    <w:rsid w:val="68B63CF9"/>
    <w:rsid w:val="68CA1553"/>
    <w:rsid w:val="69DF102E"/>
    <w:rsid w:val="6A334ED5"/>
    <w:rsid w:val="6A570BC4"/>
    <w:rsid w:val="6A99742E"/>
    <w:rsid w:val="6AA77490"/>
    <w:rsid w:val="6AB51D8E"/>
    <w:rsid w:val="6AD77F57"/>
    <w:rsid w:val="6ADA35A3"/>
    <w:rsid w:val="6AEE5503"/>
    <w:rsid w:val="6AF503DD"/>
    <w:rsid w:val="6B056872"/>
    <w:rsid w:val="6BDA1C3F"/>
    <w:rsid w:val="6BF568E6"/>
    <w:rsid w:val="6CE16E6B"/>
    <w:rsid w:val="6D6D06FE"/>
    <w:rsid w:val="6DA305C4"/>
    <w:rsid w:val="6DB620A5"/>
    <w:rsid w:val="6E105C5A"/>
    <w:rsid w:val="6E361438"/>
    <w:rsid w:val="6E7D0E15"/>
    <w:rsid w:val="6E7F4B8D"/>
    <w:rsid w:val="6E7FD857"/>
    <w:rsid w:val="6E867CCA"/>
    <w:rsid w:val="6EA445F4"/>
    <w:rsid w:val="6EAB5982"/>
    <w:rsid w:val="6EFE1F56"/>
    <w:rsid w:val="6F0230C8"/>
    <w:rsid w:val="6F435BBB"/>
    <w:rsid w:val="6F6D49E6"/>
    <w:rsid w:val="6F96218E"/>
    <w:rsid w:val="7016507D"/>
    <w:rsid w:val="702A28D7"/>
    <w:rsid w:val="70381498"/>
    <w:rsid w:val="70763D6E"/>
    <w:rsid w:val="70BF3967"/>
    <w:rsid w:val="7104137A"/>
    <w:rsid w:val="71107D1F"/>
    <w:rsid w:val="713044EC"/>
    <w:rsid w:val="71883D59"/>
    <w:rsid w:val="71956476"/>
    <w:rsid w:val="71D92806"/>
    <w:rsid w:val="71F413EE"/>
    <w:rsid w:val="720C498A"/>
    <w:rsid w:val="74212243"/>
    <w:rsid w:val="744F5002"/>
    <w:rsid w:val="748E5B2A"/>
    <w:rsid w:val="74C7103C"/>
    <w:rsid w:val="75410DEE"/>
    <w:rsid w:val="755723C0"/>
    <w:rsid w:val="761402B1"/>
    <w:rsid w:val="764D37C3"/>
    <w:rsid w:val="765127E0"/>
    <w:rsid w:val="76C770D1"/>
    <w:rsid w:val="76D11CFE"/>
    <w:rsid w:val="76DD4B47"/>
    <w:rsid w:val="76E2215D"/>
    <w:rsid w:val="77C35AEB"/>
    <w:rsid w:val="77C756F2"/>
    <w:rsid w:val="77D47CF8"/>
    <w:rsid w:val="784D1858"/>
    <w:rsid w:val="78926FC6"/>
    <w:rsid w:val="79764DDF"/>
    <w:rsid w:val="79856DD0"/>
    <w:rsid w:val="79F458A4"/>
    <w:rsid w:val="7A2B5BC9"/>
    <w:rsid w:val="7B035A61"/>
    <w:rsid w:val="7B2965AD"/>
    <w:rsid w:val="7B2F1969"/>
    <w:rsid w:val="7B3D5BB4"/>
    <w:rsid w:val="7BA2010D"/>
    <w:rsid w:val="7BBB4D2B"/>
    <w:rsid w:val="7BF73FB5"/>
    <w:rsid w:val="7C1D1542"/>
    <w:rsid w:val="7C39281F"/>
    <w:rsid w:val="7C52743D"/>
    <w:rsid w:val="7CAE2273"/>
    <w:rsid w:val="7CCD740C"/>
    <w:rsid w:val="7CFD1A9F"/>
    <w:rsid w:val="7DAC7021"/>
    <w:rsid w:val="7DF52776"/>
    <w:rsid w:val="7E186464"/>
    <w:rsid w:val="7E2E7A36"/>
    <w:rsid w:val="7E61605D"/>
    <w:rsid w:val="7E7C4C45"/>
    <w:rsid w:val="7F1906E6"/>
    <w:rsid w:val="7F8042C1"/>
    <w:rsid w:val="7F8525F4"/>
    <w:rsid w:val="7FCD1C7D"/>
    <w:rsid w:val="7FE760B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9987</Words>
  <Characters>11915</Characters>
  <Lines>30</Lines>
  <Paragraphs>8</Paragraphs>
  <TotalTime>19</TotalTime>
  <ScaleCrop>false</ScaleCrop>
  <LinksUpToDate>false</LinksUpToDate>
  <CharactersWithSpaces>12117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2025-09-30T13:12:45Z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13F9CC0CD39E43ACB1B3BC4CEC35767B_13</vt:lpwstr>
  </property>
  <property fmtid="{D5CDD505-2E9C-101B-9397-08002B2CF9AE}" pid="4" name="KSOTemplateDocerSaveRecord">
    <vt:lpwstr>eyJoZGlkIjoiMmEwNTI4MDkzNTczZGYyZGVhNmFjNjQ1MjY0MWMwZDMiLCJ1c2VySWQiOiIyOTI0NjM5In0=</vt:lpwstr>
  </property>
</Properties>
</file>